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C134E" w:rsidRDefault="0053361E">
      <w:pPr>
        <w:keepNext/>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ANNOTATION</w:t>
      </w:r>
    </w:p>
    <w:p w14:paraId="00000002" w14:textId="77777777" w:rsidR="00CC134E" w:rsidRDefault="0053361E">
      <w:pPr>
        <w:keepNext/>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of the dissertation by Alma Amanzholovna Aimoldina on the topic:</w:t>
      </w:r>
    </w:p>
    <w:p w14:paraId="00000003" w14:textId="77777777" w:rsidR="00CC134E" w:rsidRDefault="0053361E">
      <w:pPr>
        <w:keepNext/>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"The Impact of Dermatophyte Genotypes on the Course of Skin Mycoses" submitted for the degree of Doctor of Philosophy</w:t>
      </w:r>
    </w:p>
    <w:p w14:paraId="00000004" w14:textId="77777777" w:rsidR="00CC134E" w:rsidRDefault="0053361E">
      <w:pPr>
        <w:keepNext/>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(PhD) in the specialty 8D10102 – "Medicine".</w:t>
      </w:r>
    </w:p>
    <w:p w14:paraId="00000005" w14:textId="77777777" w:rsidR="00CC134E" w:rsidRDefault="00CC134E">
      <w:pPr>
        <w:keepNext/>
        <w:widowControl w:val="0"/>
        <w:spacing w:after="0" w:line="240" w:lineRule="auto"/>
        <w:jc w:val="both"/>
        <w:rPr>
          <w:rFonts w:ascii="Times New Roman" w:eastAsia="Times New Roman" w:hAnsi="Times New Roman" w:cs="Times New Roman"/>
          <w:b/>
          <w:sz w:val="28"/>
          <w:szCs w:val="28"/>
        </w:rPr>
      </w:pPr>
    </w:p>
    <w:p w14:paraId="00000006" w14:textId="77777777" w:rsidR="00CC134E" w:rsidRDefault="0053361E">
      <w:pPr>
        <w:keepNext/>
        <w:widowControl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Relevance of the research topic: </w:t>
      </w:r>
    </w:p>
    <w:p w14:paraId="00000007" w14:textId="77777777" w:rsidR="00CC134E" w:rsidRDefault="0053361E">
      <w:pPr>
        <w:keepNext/>
        <w:widowControl w:val="0"/>
        <w:spacing w:after="0" w:line="240" w:lineRule="auto"/>
        <w:ind w:firstLine="709"/>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In the structure of dermatological morbidity, fungal diseases rank second after pyoderma and constitute up to 42% of all skin diseases (A. S. Zybareva, 2019). The problem of dermatomycosis is оf growing importance due to t</w:t>
      </w:r>
      <w:r>
        <w:rPr>
          <w:rFonts w:ascii="Times New Roman" w:eastAsia="Times New Roman" w:hAnsi="Times New Roman" w:cs="Times New Roman"/>
          <w:sz w:val="28"/>
          <w:szCs w:val="28"/>
        </w:rPr>
        <w:t>he diversity of transmission routes of pathogens, their high persistence in the external environment, and alterations in the human immune response (A. Khurana et al., 2019).</w:t>
      </w:r>
    </w:p>
    <w:p w14:paraId="00000008" w14:textId="77777777" w:rsidR="00CC134E" w:rsidRDefault="0053361E">
      <w:pPr>
        <w:keepNext/>
        <w:widowControl w:val="0"/>
        <w:spacing w:after="0" w:line="240" w:lineRule="auto"/>
        <w:ind w:firstLine="709"/>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The rising incidence of superficial dermatomycoses is associated with several fact</w:t>
      </w:r>
      <w:r>
        <w:rPr>
          <w:rFonts w:ascii="Times New Roman" w:eastAsia="Times New Roman" w:hAnsi="Times New Roman" w:cs="Times New Roman"/>
          <w:sz w:val="28"/>
          <w:szCs w:val="28"/>
        </w:rPr>
        <w:t>ors: the presence of comorbidities (diabetes mellitus, obesity, vascular diseases, etc.); the use of antibiotics, cytostatics, and other chemotherapeutic agents; and pathogen resistance to antifungal agents (S. Araya et al., 2020). Climatic conditions, gen</w:t>
      </w:r>
      <w:r>
        <w:rPr>
          <w:rFonts w:ascii="Times New Roman" w:eastAsia="Times New Roman" w:hAnsi="Times New Roman" w:cs="Times New Roman"/>
          <w:sz w:val="28"/>
          <w:szCs w:val="28"/>
        </w:rPr>
        <w:t>der, age, lifestyle, human migration, cultural practices, and socioeconomic status also influence the prevalence of dermatophyte infections (B.A. Alshehri et al., 2021).</w:t>
      </w:r>
    </w:p>
    <w:p w14:paraId="00000009" w14:textId="77777777" w:rsidR="00CC134E" w:rsidRDefault="0053361E">
      <w:pPr>
        <w:keepNext/>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addition, treatment-resistant dermatophytosis, caused by </w:t>
      </w:r>
      <w:r>
        <w:rPr>
          <w:rFonts w:ascii="Times New Roman" w:eastAsia="Times New Roman" w:hAnsi="Times New Roman" w:cs="Times New Roman"/>
          <w:i/>
          <w:sz w:val="28"/>
          <w:szCs w:val="28"/>
        </w:rPr>
        <w:t>Trichophyton rubrum</w:t>
      </w:r>
      <w:r>
        <w:rPr>
          <w:rFonts w:ascii="Times New Roman" w:eastAsia="Times New Roman" w:hAnsi="Times New Roman" w:cs="Times New Roman"/>
          <w:sz w:val="28"/>
          <w:szCs w:val="28"/>
        </w:rPr>
        <w:t xml:space="preserve"> or </w:t>
      </w:r>
      <w:r>
        <w:rPr>
          <w:rFonts w:ascii="Times New Roman" w:eastAsia="Times New Roman" w:hAnsi="Times New Roman" w:cs="Times New Roman"/>
          <w:i/>
          <w:sz w:val="28"/>
          <w:szCs w:val="28"/>
        </w:rPr>
        <w:t>Tri</w:t>
      </w:r>
      <w:r>
        <w:rPr>
          <w:rFonts w:ascii="Times New Roman" w:eastAsia="Times New Roman" w:hAnsi="Times New Roman" w:cs="Times New Roman"/>
          <w:i/>
          <w:sz w:val="28"/>
          <w:szCs w:val="28"/>
        </w:rPr>
        <w:t>chophyton mentagrophytes</w:t>
      </w:r>
      <w:r>
        <w:rPr>
          <w:rFonts w:ascii="Times New Roman" w:eastAsia="Times New Roman" w:hAnsi="Times New Roman" w:cs="Times New Roman"/>
          <w:sz w:val="28"/>
          <w:szCs w:val="28"/>
        </w:rPr>
        <w:t>, is emerging as a global public health problem. This phenomenon is particularly prevalent in endemic regions such as India (P. Nenoff et al., 2019). Several cases have also been reported in Europe and other developed countries (K.M</w:t>
      </w:r>
      <w:r>
        <w:rPr>
          <w:rFonts w:ascii="Times New Roman" w:eastAsia="Times New Roman" w:hAnsi="Times New Roman" w:cs="Times New Roman"/>
          <w:sz w:val="28"/>
          <w:szCs w:val="28"/>
        </w:rPr>
        <w:t>.T. Astvad et al., 2022; P. Nenoff et al., 2020). According to available data, resistance of the pathogens causing fungal skin infections to antifungal agents is mostly genetically based and is one of the reasons for the ineffectiveness of antifungal thera</w:t>
      </w:r>
      <w:r>
        <w:rPr>
          <w:rFonts w:ascii="Times New Roman" w:eastAsia="Times New Roman" w:hAnsi="Times New Roman" w:cs="Times New Roman"/>
          <w:sz w:val="28"/>
          <w:szCs w:val="28"/>
        </w:rPr>
        <w:t>py in dermatomycoses (R. Sacheli, Harag S., 2020). Also, there is evidence of the emergence of new pathogens and atypical forms of dermatophytosis, and an increasing number of treatment-resistant cases of dermatomycosis have been reported (A. Yu. Sergeev e</w:t>
      </w:r>
      <w:r>
        <w:rPr>
          <w:rFonts w:ascii="Times New Roman" w:eastAsia="Times New Roman" w:hAnsi="Times New Roman" w:cs="Times New Roman"/>
          <w:sz w:val="28"/>
          <w:szCs w:val="28"/>
        </w:rPr>
        <w:t>t al., 2021; Salehi Z. et al., 2021).</w:t>
      </w:r>
    </w:p>
    <w:p w14:paraId="0000000A" w14:textId="77777777" w:rsidR="00CC134E" w:rsidRDefault="0053361E">
      <w:pPr>
        <w:keepNext/>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Kazakhstan, the species spectrum of dermatophyte pathogens was studied in 2008 by E.A. Sundeeva and in 2010 by A.T. Karibayeva, but no analysis of the susceptibility of various dermatophyte species to antifungal age</w:t>
      </w:r>
      <w:r>
        <w:rPr>
          <w:rFonts w:ascii="Times New Roman" w:eastAsia="Times New Roman" w:hAnsi="Times New Roman" w:cs="Times New Roman"/>
          <w:sz w:val="28"/>
          <w:szCs w:val="28"/>
        </w:rPr>
        <w:t xml:space="preserve">nts was performed. </w:t>
      </w:r>
    </w:p>
    <w:p w14:paraId="0000000B" w14:textId="77777777" w:rsidR="00CC134E" w:rsidRDefault="0053361E">
      <w:pPr>
        <w:keepNext/>
        <w:widowControl w:val="0"/>
        <w:spacing w:after="0" w:line="240" w:lineRule="auto"/>
        <w:ind w:firstLine="709"/>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Thus, given the rising incidence of dermatomycosis and the high frequency of recurrent and resistant forms of dermatophyte infection, it is necessary to investigate the impact of pathogen genotypes on the course of dermatophytosis</w:t>
      </w:r>
    </w:p>
    <w:p w14:paraId="0000000C" w14:textId="77777777" w:rsidR="00CC134E" w:rsidRDefault="0053361E">
      <w:pPr>
        <w:keepNext/>
        <w:widowControl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Resea</w:t>
      </w:r>
      <w:r>
        <w:rPr>
          <w:rFonts w:ascii="Times New Roman" w:eastAsia="Times New Roman" w:hAnsi="Times New Roman" w:cs="Times New Roman"/>
          <w:b/>
          <w:sz w:val="28"/>
          <w:szCs w:val="28"/>
        </w:rPr>
        <w:t xml:space="preserve">rch Aim: </w:t>
      </w:r>
    </w:p>
    <w:p w14:paraId="0000000D" w14:textId="77777777" w:rsidR="00CC134E" w:rsidRDefault="0053361E">
      <w:pPr>
        <w:keepNext/>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establish the relationship between the course of skin mycoses and dermatophyte genotypes.</w:t>
      </w:r>
    </w:p>
    <w:p w14:paraId="0000000E" w14:textId="77777777" w:rsidR="00CC134E" w:rsidRDefault="0053361E">
      <w:pPr>
        <w:keepNext/>
        <w:widowControl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Object and subject of the research:</w:t>
      </w:r>
    </w:p>
    <w:p w14:paraId="0000000F" w14:textId="77777777" w:rsidR="00CC134E" w:rsidRDefault="0053361E">
      <w:pPr>
        <w:keepNext/>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Patients with suspected dermatophytosis who presented for medical care in Astana. Epidemiological, mycological, and m</w:t>
      </w:r>
      <w:r>
        <w:rPr>
          <w:rFonts w:ascii="Times New Roman" w:eastAsia="Times New Roman" w:hAnsi="Times New Roman" w:cs="Times New Roman"/>
          <w:sz w:val="28"/>
          <w:szCs w:val="28"/>
        </w:rPr>
        <w:t>olecular-genetic characteristics of dermatophytosis in patients, including risk factors, species composition of the pathogens, and their susceptibility to systemic antifungal agents.</w:t>
      </w:r>
    </w:p>
    <w:p w14:paraId="00000010" w14:textId="77777777" w:rsidR="00CC134E" w:rsidRDefault="005336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Research objectives:</w:t>
      </w:r>
    </w:p>
    <w:p w14:paraId="00000011" w14:textId="77777777" w:rsidR="00CC134E" w:rsidRDefault="0053361E">
      <w:pPr>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To study the clinical manifestations and epidemiological data among patients with dermatophytosis.</w:t>
      </w:r>
    </w:p>
    <w:p w14:paraId="00000012" w14:textId="77777777" w:rsidR="00CC134E" w:rsidRDefault="0053361E">
      <w:pPr>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conduct molecular-genetic identification of dermatophyte pathogens and analyze their species diversity among patients in Astana.</w:t>
      </w:r>
    </w:p>
    <w:p w14:paraId="00000013" w14:textId="77777777" w:rsidR="00CC134E" w:rsidRDefault="0053361E">
      <w:pPr>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 investigate the in vitro susceptibility of dermatophytes isolated in Astana to systemic antifungal agents. </w:t>
      </w:r>
    </w:p>
    <w:p w14:paraId="00000014" w14:textId="77777777" w:rsidR="00CC134E" w:rsidRDefault="0053361E">
      <w:pPr>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develop an algorithm for the diagnosis and management of patients with dermatophytosis considering recurrent and persistent forms.</w:t>
      </w:r>
    </w:p>
    <w:p w14:paraId="00000015" w14:textId="77777777" w:rsidR="00CC134E" w:rsidRDefault="0053361E">
      <w:pPr>
        <w:widowControl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Materials a</w:t>
      </w:r>
      <w:r>
        <w:rPr>
          <w:rFonts w:ascii="Times New Roman" w:eastAsia="Times New Roman" w:hAnsi="Times New Roman" w:cs="Times New Roman"/>
          <w:b/>
          <w:sz w:val="28"/>
          <w:szCs w:val="28"/>
        </w:rPr>
        <w:t>nd methods of the research:</w:t>
      </w:r>
    </w:p>
    <w:p w14:paraId="00000016" w14:textId="77777777" w:rsidR="00CC134E" w:rsidRDefault="0053361E">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achieve the research aim and address the objectives, a comprehensive research program was developed.</w:t>
      </w:r>
      <w:r>
        <w:t xml:space="preserve"> </w:t>
      </w:r>
      <w:r>
        <w:rPr>
          <w:rFonts w:ascii="Times New Roman" w:eastAsia="Times New Roman" w:hAnsi="Times New Roman" w:cs="Times New Roman"/>
          <w:sz w:val="28"/>
          <w:szCs w:val="28"/>
        </w:rPr>
        <w:t>In the present study, the term “dermatophyte genotypes” refers to species and lineage clusters determined by PCR amplificati</w:t>
      </w:r>
      <w:r>
        <w:rPr>
          <w:rFonts w:ascii="Times New Roman" w:eastAsia="Times New Roman" w:hAnsi="Times New Roman" w:cs="Times New Roman"/>
          <w:sz w:val="28"/>
          <w:szCs w:val="28"/>
        </w:rPr>
        <w:t>on and sequencing of the ITS region of rDNA.</w:t>
      </w:r>
    </w:p>
    <w:p w14:paraId="00000017" w14:textId="77777777" w:rsidR="00CC134E" w:rsidRDefault="0053361E">
      <w:pPr>
        <w:widowControl w:val="0"/>
        <w:spacing w:after="0" w:line="240" w:lineRule="auto"/>
        <w:ind w:firstLine="709"/>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At the initial stage of the study, national and international experience in the diagnosis and treatment of dermatophytosis was reviewed. The search for relevant literature on the topic was conducted in the PubMe</w:t>
      </w:r>
      <w:r>
        <w:rPr>
          <w:rFonts w:ascii="Times New Roman" w:eastAsia="Times New Roman" w:hAnsi="Times New Roman" w:cs="Times New Roman"/>
          <w:sz w:val="28"/>
          <w:szCs w:val="28"/>
        </w:rPr>
        <w:t xml:space="preserve">d, eLIBRARY, and Cochrane Library databases. </w:t>
      </w:r>
    </w:p>
    <w:p w14:paraId="00000018" w14:textId="1C5269C9" w:rsidR="00CC134E" w:rsidRDefault="0053361E">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At the second stage of the study, an observational cross-sectional study was conducted. The study was conducted in accordance with the Declaration of Helsinki (2013) and was approved by the Local Bioethics Comm</w:t>
      </w:r>
      <w:r>
        <w:rPr>
          <w:rFonts w:ascii="Times New Roman" w:eastAsia="Times New Roman" w:hAnsi="Times New Roman" w:cs="Times New Roman"/>
          <w:color w:val="000000"/>
          <w:sz w:val="28"/>
          <w:szCs w:val="28"/>
        </w:rPr>
        <w:t>ittee of Astana Medical University NJSC (protocol No. 2, February 23, 2023). The study involved 343 patients of all ages and both sexes with a presumed diagnosis of dermatophytosis who presented to the dermatology unit of Multidisciplinary City Hospital No</w:t>
      </w:r>
      <w:r>
        <w:rPr>
          <w:rFonts w:ascii="Times New Roman" w:eastAsia="Times New Roman" w:hAnsi="Times New Roman" w:cs="Times New Roman"/>
          <w:color w:val="000000"/>
          <w:sz w:val="28"/>
          <w:szCs w:val="28"/>
        </w:rPr>
        <w:t xml:space="preserve">. 3 in Astana. The sample size was calculated using the OpenEpi online calculator with a 95% confidence level, an expected frequency of 50%, and a margin of error of ±5%. The inclusion criteria were a presumed diagnosis of dermatophytosis (tinea corporis, </w:t>
      </w:r>
      <w:r>
        <w:rPr>
          <w:rFonts w:ascii="Times New Roman" w:eastAsia="Times New Roman" w:hAnsi="Times New Roman" w:cs="Times New Roman"/>
          <w:color w:val="000000"/>
          <w:sz w:val="28"/>
          <w:szCs w:val="28"/>
        </w:rPr>
        <w:t>tinea capitis, or tinea cruris) and the presence of signed voluntary informed consent from the candidate or their parents or legal representative to participate in the study. The exclusion criteria included treatment for dermatophytosis within 1 month prio</w:t>
      </w:r>
      <w:r>
        <w:rPr>
          <w:rFonts w:ascii="Times New Roman" w:eastAsia="Times New Roman" w:hAnsi="Times New Roman" w:cs="Times New Roman"/>
          <w:color w:val="000000"/>
          <w:sz w:val="28"/>
          <w:szCs w:val="28"/>
        </w:rPr>
        <w:t>r to the study, pregnancy, participation in other clinical trials within the last 3 months, unwillingness to cooperate with the research physician, or refusal to participate in the study. A survey of patients was conducted to identify social and epidemiolo</w:t>
      </w:r>
      <w:r>
        <w:rPr>
          <w:rFonts w:ascii="Times New Roman" w:eastAsia="Times New Roman" w:hAnsi="Times New Roman" w:cs="Times New Roman"/>
          <w:color w:val="000000"/>
          <w:sz w:val="28"/>
          <w:szCs w:val="28"/>
        </w:rPr>
        <w:t>gical risk factors for dermatophytosis, and to obtain their medical history, personal history, and epidemiological history. All patients underwent an assessment of dermatological status in accordance with the clinical protocol for the diagnosis and treatme</w:t>
      </w:r>
      <w:r>
        <w:rPr>
          <w:rFonts w:ascii="Times New Roman" w:eastAsia="Times New Roman" w:hAnsi="Times New Roman" w:cs="Times New Roman"/>
          <w:color w:val="000000"/>
          <w:sz w:val="28"/>
          <w:szCs w:val="28"/>
        </w:rPr>
        <w:t>nt of dermatophytosis, approved by the National Scientific Center for Healthcare Development named after Salidat Kairbekova under the Ministry of Health of the Republic of Kazakhstan (Protocol No. 48, dated December 5, 2018). The localization of pathologic</w:t>
      </w:r>
      <w:r>
        <w:rPr>
          <w:rFonts w:ascii="Times New Roman" w:eastAsia="Times New Roman" w:hAnsi="Times New Roman" w:cs="Times New Roman"/>
          <w:color w:val="000000"/>
          <w:sz w:val="28"/>
          <w:szCs w:val="28"/>
        </w:rPr>
        <w:t xml:space="preserve">al lesions (scalp, glabrous skin, intertriginous areas), the area of skin involvement, and the severity of clinical symptoms were assessed to evaluate the overall clinical severity of the disease. </w:t>
      </w:r>
      <w:r>
        <w:rPr>
          <w:rFonts w:ascii="Times New Roman" w:eastAsia="Times New Roman" w:hAnsi="Times New Roman" w:cs="Times New Roman"/>
          <w:sz w:val="28"/>
          <w:szCs w:val="28"/>
        </w:rPr>
        <w:t>Clinical specimens (skin scrapings and/or hair) were collec</w:t>
      </w:r>
      <w:r>
        <w:rPr>
          <w:rFonts w:ascii="Times New Roman" w:eastAsia="Times New Roman" w:hAnsi="Times New Roman" w:cs="Times New Roman"/>
          <w:sz w:val="28"/>
          <w:szCs w:val="28"/>
        </w:rPr>
        <w:t>ted from affected areas and subjected to microscopic and culture-morphological examination, including inoculation onto Sabouraud dextrose agar. When necessary, Pearson’s chi-squared test or Fisher’s exact test was used to assess associations between catego</w:t>
      </w:r>
      <w:r>
        <w:rPr>
          <w:rFonts w:ascii="Times New Roman" w:eastAsia="Times New Roman" w:hAnsi="Times New Roman" w:cs="Times New Roman"/>
          <w:sz w:val="28"/>
          <w:szCs w:val="28"/>
        </w:rPr>
        <w:t xml:space="preserve">rical variables. </w:t>
      </w:r>
      <w:r>
        <w:rPr>
          <w:rFonts w:ascii="Times New Roman" w:eastAsia="Times New Roman" w:hAnsi="Times New Roman" w:cs="Times New Roman"/>
          <w:sz w:val="28"/>
          <w:szCs w:val="28"/>
        </w:rPr>
        <w:lastRenderedPageBreak/>
        <w:t>Statistical significance was determined at p &lt; 0.05.</w:t>
      </w:r>
    </w:p>
    <w:p w14:paraId="20B1146B" w14:textId="797203A2" w:rsidR="00567EE9" w:rsidRDefault="00567EE9">
      <w:pPr>
        <w:widowControl w:val="0"/>
        <w:spacing w:after="0" w:line="240" w:lineRule="auto"/>
        <w:ind w:firstLine="709"/>
        <w:jc w:val="both"/>
        <w:rPr>
          <w:rFonts w:ascii="Times New Roman" w:eastAsia="Times New Roman" w:hAnsi="Times New Roman" w:cs="Times New Roman"/>
          <w:color w:val="000000"/>
          <w:sz w:val="28"/>
          <w:szCs w:val="28"/>
          <w:highlight w:val="yellow"/>
        </w:rPr>
      </w:pPr>
      <w:r w:rsidRPr="00567EE9">
        <w:rPr>
          <w:rFonts w:ascii="Times New Roman" w:eastAsia="Times New Roman" w:hAnsi="Times New Roman" w:cs="Times New Roman"/>
          <w:color w:val="000000"/>
          <w:sz w:val="28"/>
          <w:szCs w:val="28"/>
        </w:rPr>
        <w:t>At the same stage, a case-control study nested within the observational cross-sectional study was performed to identify social and epidemiological risk factors for dermatophytosis. The comparison groups included patients with confirmed dermatophytosis (positive microscopy result) and those with a negative microscopy result. To identify factors associated with dermatophytosis, univariate logistic regression was performed, and crude odds ratios were calculated to reflect the association between each individual factor and the presence of dermatophytosis, without adjusting for other variables. Variables with a p-value ≤0.25 in the univariate analysis were selected as candidates for building a multivariate model. As a result of multivariate logistic regression, adjusted odds ratios were obtained, which take into account the influence of all variables included in the model and indicate the independent contribution of each factor to the risk of developing dermatophytosis. Since the clinical forms of dermatophytosis differ significantly in age distribution, the sample was divided into two age groups: under 18 years of age and 18 years or older. This division made it possible to account for the age-specific characteristics of the risk factor structure and minimize the impact of differences in dermatophyte species and disease forms without the need for direct stratification by clinical form. For each age group, a separate logistic regression model was built with the inclusion of factors that passed preliminary selection (p ≤ 0.25) and corresponded to the age-specific characteristics of the subgroup. The reliability of the developed models was assessed based on the EPV (events per variable) rule, according to which at least 10 cases with the target outcome should be available for each included factor. In the models developed separately for children (129 cases, 6 variables) and adults (183 cases, 9 variables), the EPV values were 21.5 and 20.3, respectively, which exceed the recommended minimum and confirm the reliability of both models. Multicollinearity between the predictor variables was assessed using Tolerance and the Variance Inflation Factor (VIF). Tolerance values &gt;0.2 and VIF values &lt;5 were considered indicative of the absence of multicollinearity. The goodness of fit of the models was evaluated using the Hosmer–Lemeshow test and the Nagelkerke R² statistic. To assess the discriminatory ability of each model, an ROC curve was constructed, and the area under the curve (AUC) was calculated.</w:t>
      </w:r>
    </w:p>
    <w:p w14:paraId="0000001A" w14:textId="54D4D4D4" w:rsidR="00CC134E" w:rsidRDefault="0053361E">
      <w:pPr>
        <w:widowControl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Then the logistic regression coefficients (B), which represent the logarithm of the odds ratio, were used to calculate the weights (scores). All B coefficients were normalized to the maximum logistic regression coefficient (Bmax) (contact with a cat, B = 1</w:t>
      </w:r>
      <w:r>
        <w:rPr>
          <w:rFonts w:ascii="Times New Roman" w:eastAsia="Times New Roman" w:hAnsi="Times New Roman" w:cs="Times New Roman"/>
          <w:color w:val="000000"/>
          <w:sz w:val="28"/>
          <w:szCs w:val="28"/>
        </w:rPr>
        <w:t>.677 for children; contact sports, B = 1.311 for adults), which was arbitrarily assigned 10 points. The resulting values were rounded to the nearest integer. Based on these calculations, two scoring scales were developed to reflect the relative contributio</w:t>
      </w:r>
      <w:r>
        <w:rPr>
          <w:rFonts w:ascii="Times New Roman" w:eastAsia="Times New Roman" w:hAnsi="Times New Roman" w:cs="Times New Roman"/>
          <w:color w:val="000000"/>
          <w:sz w:val="28"/>
          <w:szCs w:val="28"/>
        </w:rPr>
        <w:t>n of each factor to disease risk in adults and children. To evaluate the prognostic accuracy of each scoring scale, an ROC curve was constructed using the overall score derived from the scale. ROC analysis was performed on the same dataset used for model t</w:t>
      </w:r>
      <w:r>
        <w:rPr>
          <w:rFonts w:ascii="Times New Roman" w:eastAsia="Times New Roman" w:hAnsi="Times New Roman" w:cs="Times New Roman"/>
          <w:color w:val="000000"/>
          <w:sz w:val="28"/>
          <w:szCs w:val="28"/>
        </w:rPr>
        <w:t xml:space="preserve">raining, prior to defining risk categories. The discriminative ability of the scales and the corresponding logistic models was assessed by comparing their diagnostic metrics, including AUC, sensitivity, and specificity.  </w:t>
      </w:r>
    </w:p>
    <w:p w14:paraId="03F5A64E" w14:textId="25737381" w:rsidR="00567EE9" w:rsidRDefault="00567EE9">
      <w:pPr>
        <w:widowControl w:val="0"/>
        <w:spacing w:after="0" w:line="240" w:lineRule="auto"/>
        <w:ind w:firstLine="709"/>
        <w:jc w:val="both"/>
        <w:rPr>
          <w:rFonts w:ascii="Times New Roman" w:eastAsia="Times New Roman" w:hAnsi="Times New Roman" w:cs="Times New Roman"/>
          <w:color w:val="000000"/>
          <w:sz w:val="28"/>
          <w:szCs w:val="28"/>
        </w:rPr>
      </w:pPr>
      <w:r w:rsidRPr="00567EE9">
        <w:rPr>
          <w:rFonts w:ascii="Times New Roman" w:eastAsia="Times New Roman" w:hAnsi="Times New Roman" w:cs="Times New Roman"/>
          <w:color w:val="000000"/>
          <w:sz w:val="28"/>
          <w:szCs w:val="28"/>
        </w:rPr>
        <w:lastRenderedPageBreak/>
        <w:t>For practical use of each developed scale, three risk levels were identified: low, moderate, and high. To determine the boundaries of the three-level risk scale, sensitivity and specificity values calculated at different total scores were used. The low-risk threshold was defined as the score at which sensitivity was ≥90%, with an acceptable decrease in specificity to ≤50%. The high-risk threshold was determined from the maximum value of the Youden Index (Youden Index = Sensitivity + Specificity – 1), calculated from the ROC analysis of the overall scoring scale. Intermediate values between these thresholds were assigned to the moderate-risk category.</w:t>
      </w:r>
    </w:p>
    <w:p w14:paraId="5922D28F" w14:textId="046433A4" w:rsidR="00567EE9" w:rsidRPr="00567EE9" w:rsidRDefault="00567EE9">
      <w:pPr>
        <w:widowControl w:val="0"/>
        <w:spacing w:after="0" w:line="240" w:lineRule="auto"/>
        <w:ind w:firstLine="709"/>
        <w:jc w:val="both"/>
        <w:rPr>
          <w:rFonts w:ascii="Times New Roman" w:eastAsia="Times New Roman" w:hAnsi="Times New Roman" w:cs="Times New Roman"/>
          <w:color w:val="000000"/>
          <w:sz w:val="28"/>
          <w:szCs w:val="28"/>
          <w:lang w:val="ru-RU"/>
        </w:rPr>
      </w:pPr>
      <w:r w:rsidRPr="00567EE9">
        <w:rPr>
          <w:rFonts w:ascii="Times New Roman" w:eastAsia="Times New Roman" w:hAnsi="Times New Roman" w:cs="Times New Roman"/>
          <w:color w:val="000000"/>
          <w:sz w:val="28"/>
          <w:szCs w:val="28"/>
        </w:rPr>
        <w:t>At the third stage of the study, molecular identification of dermatophytes was performed using polymerase chain reaction. When analyzing the spectrum of dermatophyte pathogens, the chi-squared (Pearson) test of independence was used to assess the relationship between categorical variables. Before applying the test, the expected frequencies in the contingency tables were evaluated: the chi-squared test was applied when at least 75–80% of the cells had expected frequencies ≥5, and none had an expected frequency &lt;1. In cases where these conditions were not met, Fisher's exact test or an approximate significance assessment using the Monte Carlo method (10,000 iterations, 99% confidence level) was applied. The Likelihood Ratio test was also applied when necessary.</w:t>
      </w:r>
      <w:r>
        <w:rPr>
          <w:rFonts w:ascii="Times New Roman" w:eastAsia="Times New Roman" w:hAnsi="Times New Roman" w:cs="Times New Roman"/>
          <w:color w:val="000000"/>
          <w:sz w:val="28"/>
          <w:szCs w:val="28"/>
          <w:lang w:val="ru-RU"/>
        </w:rPr>
        <w:t xml:space="preserve"> </w:t>
      </w:r>
    </w:p>
    <w:p w14:paraId="0000001D" w14:textId="77777777" w:rsidR="00CC134E" w:rsidRDefault="0053361E">
      <w:pPr>
        <w:widowControl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At the fourth stage of the study, susceptibility to antifungal agents (terbinafine, itraconazole) was determined using the EUCAST E.Def 1</w:t>
      </w:r>
      <w:r>
        <w:rPr>
          <w:rFonts w:ascii="Times New Roman" w:eastAsia="Times New Roman" w:hAnsi="Times New Roman" w:cs="Times New Roman"/>
          <w:color w:val="000000"/>
          <w:sz w:val="28"/>
          <w:szCs w:val="28"/>
        </w:rPr>
        <w:t>1.0 method. The minimum inhibitory concentration (MIC) values obtained for terbinafine and itraconazole were analyzed using nonparametric methods. Comparison of the MIC values of terbinafine and itraconazole within each dermatophyte species was performed u</w:t>
      </w:r>
      <w:r>
        <w:rPr>
          <w:rFonts w:ascii="Times New Roman" w:eastAsia="Times New Roman" w:hAnsi="Times New Roman" w:cs="Times New Roman"/>
          <w:color w:val="000000"/>
          <w:sz w:val="28"/>
          <w:szCs w:val="28"/>
        </w:rPr>
        <w:t xml:space="preserve">sing the Wilcoxon signed-rank test for paired samples, considering data dependence and the non-normal distribution. For interspecies comparison of MIC values, the Kruskal–Wallis test was applied, followed by Dunn’s post-hoc test with Bonferroni correction </w:t>
      </w:r>
      <w:r>
        <w:rPr>
          <w:rFonts w:ascii="Times New Roman" w:eastAsia="Times New Roman" w:hAnsi="Times New Roman" w:cs="Times New Roman"/>
          <w:color w:val="000000"/>
          <w:sz w:val="28"/>
          <w:szCs w:val="28"/>
        </w:rPr>
        <w:t>for pairwise comparisons between groups. To assess the correlation between the MIC values of terbinafine and itraconazole, Spearman’s rank correlation coefficient was used.</w:t>
      </w:r>
    </w:p>
    <w:p w14:paraId="0000001E" w14:textId="77777777" w:rsidR="00CC134E" w:rsidRDefault="0053361E">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 the fifth stage, an algorithm for the diagnosis and management of patients with </w:t>
      </w:r>
      <w:r>
        <w:rPr>
          <w:rFonts w:ascii="Times New Roman" w:eastAsia="Times New Roman" w:hAnsi="Times New Roman" w:cs="Times New Roman"/>
          <w:sz w:val="28"/>
          <w:szCs w:val="28"/>
        </w:rPr>
        <w:t xml:space="preserve">dermatophytosis considering of recurrent and persistent forms was developed. </w:t>
      </w:r>
    </w:p>
    <w:p w14:paraId="0000001F" w14:textId="77777777" w:rsidR="00CC134E" w:rsidRDefault="0053361E">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 data were analyzed using SPSS, version 26.0 (Statistical Package for the Social Sciences).</w:t>
      </w:r>
    </w:p>
    <w:p w14:paraId="00000020" w14:textId="77777777" w:rsidR="00CC134E" w:rsidRDefault="0053361E">
      <w:pPr>
        <w:widowControl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Scientific novelty of the research results:</w:t>
      </w:r>
    </w:p>
    <w:p w14:paraId="00000021" w14:textId="77777777" w:rsidR="00CC134E" w:rsidRDefault="0053361E">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the first time in Astana, a compreh</w:t>
      </w:r>
      <w:r>
        <w:rPr>
          <w:rFonts w:ascii="Times New Roman" w:eastAsia="Times New Roman" w:hAnsi="Times New Roman" w:cs="Times New Roman"/>
          <w:sz w:val="28"/>
          <w:szCs w:val="28"/>
        </w:rPr>
        <w:t xml:space="preserve">ensive molecular identification of 150 clinical dermatophyte isolates was conducted, with confirmation of their species identity through sequencing of the ITS region of rDNA and deposition of the sequences in the GenBank database. This study also provides </w:t>
      </w:r>
      <w:r>
        <w:rPr>
          <w:rFonts w:ascii="Times New Roman" w:eastAsia="Times New Roman" w:hAnsi="Times New Roman" w:cs="Times New Roman"/>
          <w:sz w:val="28"/>
          <w:szCs w:val="28"/>
        </w:rPr>
        <w:t xml:space="preserve">the first report from the region of </w:t>
      </w:r>
      <w:r>
        <w:rPr>
          <w:rFonts w:ascii="Times New Roman" w:eastAsia="Times New Roman" w:hAnsi="Times New Roman" w:cs="Times New Roman"/>
          <w:i/>
          <w:sz w:val="28"/>
          <w:szCs w:val="28"/>
        </w:rPr>
        <w:t>Trichophyton indotineae</w:t>
      </w:r>
      <w:r>
        <w:rPr>
          <w:rFonts w:ascii="Times New Roman" w:eastAsia="Times New Roman" w:hAnsi="Times New Roman" w:cs="Times New Roman"/>
          <w:sz w:val="28"/>
          <w:szCs w:val="28"/>
        </w:rPr>
        <w:t>, a dermatophyte showing reduced susceptibility to terbinafine.</w:t>
      </w:r>
    </w:p>
    <w:p w14:paraId="00000022" w14:textId="77777777" w:rsidR="00CC134E" w:rsidRDefault="0053361E">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the first time in Kazakhstan, in vitro susceptibility testing of dermatophytes to terbinafine and itraconazole was performed usin</w:t>
      </w:r>
      <w:r>
        <w:rPr>
          <w:rFonts w:ascii="Times New Roman" w:eastAsia="Times New Roman" w:hAnsi="Times New Roman" w:cs="Times New Roman"/>
          <w:sz w:val="28"/>
          <w:szCs w:val="28"/>
        </w:rPr>
        <w:t xml:space="preserve">g the EUCAST E.Def 11.0 protocol, revealing species-specific differences and possible reduced susceptibility in the majority of </w:t>
      </w:r>
      <w:r>
        <w:rPr>
          <w:rFonts w:ascii="Times New Roman" w:eastAsia="Times New Roman" w:hAnsi="Times New Roman" w:cs="Times New Roman"/>
          <w:i/>
          <w:sz w:val="28"/>
          <w:szCs w:val="28"/>
        </w:rPr>
        <w:t>Trichophyton indotineae</w:t>
      </w:r>
      <w:r>
        <w:rPr>
          <w:rFonts w:ascii="Times New Roman" w:eastAsia="Times New Roman" w:hAnsi="Times New Roman" w:cs="Times New Roman"/>
          <w:sz w:val="28"/>
          <w:szCs w:val="28"/>
        </w:rPr>
        <w:t xml:space="preserve"> strains.</w:t>
      </w:r>
    </w:p>
    <w:p w14:paraId="00000023" w14:textId="77777777" w:rsidR="00CC134E" w:rsidRDefault="0053361E">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For the first time in Kazakhstan, two risk stratification scales for dermatophytosis were devel</w:t>
      </w:r>
      <w:r>
        <w:rPr>
          <w:rFonts w:ascii="Times New Roman" w:eastAsia="Times New Roman" w:hAnsi="Times New Roman" w:cs="Times New Roman"/>
          <w:sz w:val="28"/>
          <w:szCs w:val="28"/>
        </w:rPr>
        <w:t>oped separately for adults and children, based on significant epidemiological factors (AOR, p&lt;0.05) and validated by ROC analysis (AUC = 0.749 for the adult scale; 0.705 for the pediatric scale). Both scales are adapted for use in outpatient clinical pract</w:t>
      </w:r>
      <w:r>
        <w:rPr>
          <w:rFonts w:ascii="Times New Roman" w:eastAsia="Times New Roman" w:hAnsi="Times New Roman" w:cs="Times New Roman"/>
          <w:sz w:val="28"/>
          <w:szCs w:val="28"/>
        </w:rPr>
        <w:t>ice.</w:t>
      </w:r>
    </w:p>
    <w:p w14:paraId="00000024" w14:textId="77777777" w:rsidR="00CC134E" w:rsidRDefault="0053361E">
      <w:pPr>
        <w:widowControl w:val="0"/>
        <w:pBdr>
          <w:top w:val="nil"/>
          <w:left w:val="nil"/>
          <w:bottom w:val="nil"/>
          <w:right w:val="nil"/>
          <w:between w:val="nil"/>
        </w:pBdr>
        <w:tabs>
          <w:tab w:val="left" w:pos="0"/>
        </w:tabs>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Practical significance:</w:t>
      </w:r>
    </w:p>
    <w:p w14:paraId="00000025" w14:textId="77777777" w:rsidR="00CC134E" w:rsidRDefault="0053361E">
      <w:pPr>
        <w:widowControl w:val="0"/>
        <w:pBdr>
          <w:top w:val="nil"/>
          <w:left w:val="nil"/>
          <w:bottom w:val="nil"/>
          <w:right w:val="nil"/>
          <w:between w:val="nil"/>
        </w:pBd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practical significance of the dissertation lies in the development and adaptation for outpatient practice of two individual risk assessment scales for dermatophytosis (for adults and children), designed for early detection and stratification of patient</w:t>
      </w:r>
      <w:r>
        <w:rPr>
          <w:rFonts w:ascii="Times New Roman" w:eastAsia="Times New Roman" w:hAnsi="Times New Roman" w:cs="Times New Roman"/>
          <w:color w:val="000000"/>
          <w:sz w:val="28"/>
          <w:szCs w:val="28"/>
        </w:rPr>
        <w:t>s.</w:t>
      </w:r>
    </w:p>
    <w:p w14:paraId="00000026" w14:textId="77777777" w:rsidR="00CC134E" w:rsidRDefault="0053361E">
      <w:pPr>
        <w:widowControl w:val="0"/>
        <w:pBdr>
          <w:top w:val="nil"/>
          <w:left w:val="nil"/>
          <w:bottom w:val="nil"/>
          <w:right w:val="nil"/>
          <w:between w:val="nil"/>
        </w:pBd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developed clinical and diagnostic algorithm can be recommended for use in both outpatient and inpatient practice by dermatovenereologists, therapists, and mycologists, as it provides a systematic approach to patient management at all stages – from p</w:t>
      </w:r>
      <w:r>
        <w:rPr>
          <w:rFonts w:ascii="Times New Roman" w:eastAsia="Times New Roman" w:hAnsi="Times New Roman" w:cs="Times New Roman"/>
          <w:color w:val="000000"/>
          <w:sz w:val="28"/>
          <w:szCs w:val="28"/>
        </w:rPr>
        <w:t>rimary assessment to therapy adjustment in cases of relapse and persistent disease course – thus improving treatment effectiveness and reducing the likelihood of repeat visits.</w:t>
      </w:r>
    </w:p>
    <w:p w14:paraId="00000027" w14:textId="77777777" w:rsidR="00CC134E" w:rsidRDefault="0053361E">
      <w:pPr>
        <w:widowControl w:val="0"/>
        <w:tabs>
          <w:tab w:val="left" w:pos="1130"/>
        </w:tabs>
        <w:spacing w:after="0" w:line="240" w:lineRule="auto"/>
        <w:ind w:firstLine="709"/>
        <w:jc w:val="both"/>
        <w:rPr>
          <w:rFonts w:ascii="Times New Roman" w:eastAsia="Times New Roman" w:hAnsi="Times New Roman" w:cs="Times New Roman"/>
          <w:color w:val="000000"/>
          <w:sz w:val="28"/>
          <w:szCs w:val="28"/>
        </w:rPr>
      </w:pPr>
      <w:bookmarkStart w:id="0" w:name="_heading=h.fa4m69kzlixp" w:colFirst="0" w:colLast="0"/>
      <w:bookmarkEnd w:id="0"/>
      <w:r>
        <w:rPr>
          <w:rFonts w:ascii="Times New Roman" w:eastAsia="Times New Roman" w:hAnsi="Times New Roman" w:cs="Times New Roman"/>
          <w:color w:val="000000"/>
          <w:sz w:val="28"/>
          <w:szCs w:val="28"/>
        </w:rPr>
        <w:t xml:space="preserve">Comprehensive consideration of the etiological profile of pathogens, including </w:t>
      </w:r>
      <w:r>
        <w:rPr>
          <w:rFonts w:ascii="Times New Roman" w:eastAsia="Times New Roman" w:hAnsi="Times New Roman" w:cs="Times New Roman"/>
          <w:color w:val="000000"/>
          <w:sz w:val="28"/>
          <w:szCs w:val="28"/>
        </w:rPr>
        <w:t xml:space="preserve">molecular identification, clinical and epidemiological factors, and indicators of reduced susceptibility to systemic antifungal agents provides the basis for a personalized approach to patient management and can be applied to optimize treatment strategies </w:t>
      </w:r>
      <w:r>
        <w:rPr>
          <w:rFonts w:ascii="Times New Roman" w:eastAsia="Times New Roman" w:hAnsi="Times New Roman" w:cs="Times New Roman"/>
          <w:color w:val="000000"/>
          <w:sz w:val="28"/>
          <w:szCs w:val="28"/>
        </w:rPr>
        <w:t xml:space="preserve">and ensure the rational use of healthcare resources. </w:t>
      </w:r>
    </w:p>
    <w:p w14:paraId="00000028" w14:textId="77777777" w:rsidR="00CC134E" w:rsidRDefault="0053361E">
      <w:pPr>
        <w:widowControl w:val="0"/>
        <w:tabs>
          <w:tab w:val="left" w:pos="1130"/>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Principal findings submitted for defense:</w:t>
      </w:r>
    </w:p>
    <w:p w14:paraId="00000029" w14:textId="77777777" w:rsidR="00CC134E" w:rsidRDefault="0053361E">
      <w:pPr>
        <w:widowControl w:val="0"/>
        <w:numPr>
          <w:ilvl w:val="0"/>
          <w:numId w:val="2"/>
        </w:numPr>
        <w:pBdr>
          <w:top w:val="nil"/>
          <w:left w:val="nil"/>
          <w:bottom w:val="nil"/>
          <w:right w:val="nil"/>
          <w:between w:val="nil"/>
        </w:pBdr>
        <w:tabs>
          <w:tab w:val="left" w:pos="113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 Astana, dermatophytosis was significantly associated with several epidemiological risk factors (p&lt;0.05). Among children, the most significant factors were co</w:t>
      </w:r>
      <w:r>
        <w:rPr>
          <w:rFonts w:ascii="Times New Roman" w:eastAsia="Times New Roman" w:hAnsi="Times New Roman" w:cs="Times New Roman"/>
          <w:color w:val="000000"/>
          <w:sz w:val="28"/>
          <w:szCs w:val="28"/>
        </w:rPr>
        <w:t>ntact with a cat, contact with a relative with dermatophytosis, and participation in contact sports. Among adults, the most significant factors were contact with a relative with dermatophytosis, visiting a massage salon, and sexual contact with an infected</w:t>
      </w:r>
      <w:r>
        <w:rPr>
          <w:rFonts w:ascii="Times New Roman" w:eastAsia="Times New Roman" w:hAnsi="Times New Roman" w:cs="Times New Roman"/>
          <w:color w:val="000000"/>
          <w:sz w:val="28"/>
          <w:szCs w:val="28"/>
        </w:rPr>
        <w:t xml:space="preserve"> partner. Based on multivariate analysis, two individual risk assessment scales were developed: one for adults (AUC = 0.749) and one for children (AUC = 0.705).</w:t>
      </w:r>
    </w:p>
    <w:p w14:paraId="0000002A" w14:textId="77777777" w:rsidR="00CC134E" w:rsidRDefault="0053361E">
      <w:pPr>
        <w:widowControl w:val="0"/>
        <w:numPr>
          <w:ilvl w:val="0"/>
          <w:numId w:val="2"/>
        </w:numPr>
        <w:pBdr>
          <w:top w:val="nil"/>
          <w:left w:val="nil"/>
          <w:bottom w:val="nil"/>
          <w:right w:val="nil"/>
          <w:between w:val="nil"/>
        </w:pBdr>
        <w:tabs>
          <w:tab w:val="left" w:pos="1069"/>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Molecular identification of 150 dermatophyte isolates revealed the predominance of zoophilic species (67.3%), primarily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Anthropophilic dermatophytes (in particular,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and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were more freque</w:t>
      </w:r>
      <w:r>
        <w:rPr>
          <w:rFonts w:ascii="Times New Roman" w:eastAsia="Times New Roman" w:hAnsi="Times New Roman" w:cs="Times New Roman"/>
          <w:color w:val="000000"/>
          <w:sz w:val="28"/>
          <w:szCs w:val="28"/>
        </w:rPr>
        <w:t>ntly identified in the inguinal region. A statistically significant association was established between the dermatophyte species and each of the following factors: patient age, clinical form, and season of disease onset.</w:t>
      </w:r>
    </w:p>
    <w:p w14:paraId="0000002B" w14:textId="77777777" w:rsidR="00CC134E" w:rsidRDefault="0053361E">
      <w:pPr>
        <w:widowControl w:val="0"/>
        <w:numPr>
          <w:ilvl w:val="0"/>
          <w:numId w:val="2"/>
        </w:numPr>
        <w:pBdr>
          <w:top w:val="nil"/>
          <w:left w:val="nil"/>
          <w:bottom w:val="nil"/>
          <w:right w:val="nil"/>
          <w:between w:val="nil"/>
        </w:pBdr>
        <w:tabs>
          <w:tab w:val="left" w:pos="1069"/>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 the present study, </w:t>
      </w:r>
      <w:r>
        <w:rPr>
          <w:rFonts w:ascii="Times New Roman" w:eastAsia="Times New Roman" w:hAnsi="Times New Roman" w:cs="Times New Roman"/>
          <w:i/>
          <w:color w:val="000000"/>
          <w:sz w:val="28"/>
          <w:szCs w:val="28"/>
        </w:rPr>
        <w:t xml:space="preserve">Trichophyton </w:t>
      </w:r>
      <w:r>
        <w:rPr>
          <w:rFonts w:ascii="Times New Roman" w:eastAsia="Times New Roman" w:hAnsi="Times New Roman" w:cs="Times New Roman"/>
          <w:i/>
          <w:color w:val="000000"/>
          <w:sz w:val="28"/>
          <w:szCs w:val="28"/>
        </w:rPr>
        <w:t>indotineae</w:t>
      </w:r>
      <w:r>
        <w:rPr>
          <w:rFonts w:ascii="Times New Roman" w:eastAsia="Times New Roman" w:hAnsi="Times New Roman" w:cs="Times New Roman"/>
          <w:color w:val="000000"/>
          <w:sz w:val="28"/>
          <w:szCs w:val="28"/>
        </w:rPr>
        <w:t xml:space="preserve"> was identified for the first time in Astana, in seven patients without a history of migration, which may indicate local circulation. This underscores the need for the implementation of molecular diagnostics and regular monitoring of the etiologi</w:t>
      </w:r>
      <w:r>
        <w:rPr>
          <w:rFonts w:ascii="Times New Roman" w:eastAsia="Times New Roman" w:hAnsi="Times New Roman" w:cs="Times New Roman"/>
          <w:color w:val="000000"/>
          <w:sz w:val="28"/>
          <w:szCs w:val="28"/>
        </w:rPr>
        <w:t>cal profile of dermatophytosis.</w:t>
      </w:r>
    </w:p>
    <w:p w14:paraId="0000002C" w14:textId="77777777" w:rsidR="00CC134E" w:rsidRDefault="0053361E">
      <w:pPr>
        <w:widowControl w:val="0"/>
        <w:numPr>
          <w:ilvl w:val="0"/>
          <w:numId w:val="2"/>
        </w:numPr>
        <w:pBdr>
          <w:top w:val="nil"/>
          <w:left w:val="nil"/>
          <w:bottom w:val="nil"/>
          <w:right w:val="nil"/>
          <w:between w:val="nil"/>
        </w:pBdr>
        <w:tabs>
          <w:tab w:val="left" w:pos="1069"/>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Species-specific susceptibility patterns of dermatophytes to terbinafine and itraconazole in vitro were identified. Elevated MIC values of terbinafine were observed in 71.4% </w:t>
      </w:r>
      <w:r>
        <w:rPr>
          <w:rFonts w:ascii="Times New Roman" w:eastAsia="Times New Roman" w:hAnsi="Times New Roman" w:cs="Times New Roman"/>
          <w:i/>
          <w:color w:val="000000"/>
          <w:sz w:val="28"/>
          <w:szCs w:val="28"/>
        </w:rPr>
        <w:t>of Trichophyton indotineae</w:t>
      </w:r>
      <w:r>
        <w:rPr>
          <w:rFonts w:ascii="Times New Roman" w:eastAsia="Times New Roman" w:hAnsi="Times New Roman" w:cs="Times New Roman"/>
          <w:color w:val="000000"/>
          <w:sz w:val="28"/>
          <w:szCs w:val="28"/>
        </w:rPr>
        <w:t xml:space="preserve"> isolates. Statistically</w:t>
      </w:r>
      <w:r>
        <w:rPr>
          <w:rFonts w:ascii="Times New Roman" w:eastAsia="Times New Roman" w:hAnsi="Times New Roman" w:cs="Times New Roman"/>
          <w:color w:val="000000"/>
          <w:sz w:val="28"/>
          <w:szCs w:val="28"/>
        </w:rPr>
        <w:t xml:space="preserve"> significant differences among species underscore the importance of species identification in therapy selection </w:t>
      </w:r>
      <w:r>
        <w:rPr>
          <w:rFonts w:ascii="Times New Roman" w:eastAsia="Times New Roman" w:hAnsi="Times New Roman" w:cs="Times New Roman"/>
          <w:color w:val="000000"/>
          <w:sz w:val="28"/>
          <w:szCs w:val="28"/>
        </w:rPr>
        <w:lastRenderedPageBreak/>
        <w:t>(p &lt; 0.0001).</w:t>
      </w:r>
    </w:p>
    <w:p w14:paraId="0000002D" w14:textId="77777777" w:rsidR="00CC134E" w:rsidRDefault="0053361E">
      <w:pPr>
        <w:widowControl w:val="0"/>
        <w:numPr>
          <w:ilvl w:val="0"/>
          <w:numId w:val="2"/>
        </w:numPr>
        <w:pBdr>
          <w:top w:val="nil"/>
          <w:left w:val="nil"/>
          <w:bottom w:val="nil"/>
          <w:right w:val="nil"/>
          <w:between w:val="nil"/>
        </w:pBdr>
        <w:tabs>
          <w:tab w:val="left" w:pos="1069"/>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An algorithm for the diagnosis and management of patients with dermatophytosis was developed, including clinical and epidemiologic</w:t>
      </w:r>
      <w:r>
        <w:rPr>
          <w:rFonts w:ascii="Times New Roman" w:eastAsia="Times New Roman" w:hAnsi="Times New Roman" w:cs="Times New Roman"/>
          <w:color w:val="000000"/>
          <w:sz w:val="28"/>
          <w:szCs w:val="28"/>
        </w:rPr>
        <w:t>al assessment, laboratory confirmation, molecular identification, susceptibility testing to systemic antifungal agents, and adjustment of therapy for relapse or persistent infection.</w:t>
      </w:r>
    </w:p>
    <w:p w14:paraId="0000002E" w14:textId="77777777" w:rsidR="00CC134E" w:rsidRDefault="0053361E">
      <w:pPr>
        <w:widowControl w:val="0"/>
        <w:pBdr>
          <w:top w:val="nil"/>
          <w:left w:val="nil"/>
          <w:bottom w:val="nil"/>
          <w:right w:val="nil"/>
          <w:between w:val="nil"/>
        </w:pBdr>
        <w:tabs>
          <w:tab w:val="left" w:pos="1130"/>
        </w:tabs>
        <w:spacing w:after="0" w:line="240" w:lineRule="auto"/>
        <w:ind w:left="709"/>
        <w:jc w:val="both"/>
        <w:rPr>
          <w:rFonts w:ascii="Times New Roman" w:eastAsia="Times New Roman" w:hAnsi="Times New Roman" w:cs="Times New Roman"/>
          <w:color w:val="000000"/>
          <w:sz w:val="28"/>
          <w:szCs w:val="28"/>
          <w:highlight w:val="yellow"/>
        </w:rPr>
      </w:pPr>
      <w:r>
        <w:rPr>
          <w:rFonts w:ascii="Times New Roman" w:eastAsia="Times New Roman" w:hAnsi="Times New Roman" w:cs="Times New Roman"/>
          <w:b/>
          <w:color w:val="000000"/>
          <w:sz w:val="28"/>
          <w:szCs w:val="28"/>
        </w:rPr>
        <w:t>Research results:</w:t>
      </w:r>
    </w:p>
    <w:p w14:paraId="0000002F" w14:textId="77777777" w:rsidR="00CC134E" w:rsidRDefault="0053361E">
      <w:pPr>
        <w:widowControl w:val="0"/>
        <w:numPr>
          <w:ilvl w:val="3"/>
          <w:numId w:val="2"/>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study included 343 patients with clinical signs of dermatophytosis. Men accounted for 57.4%, women for 42.6%. The mean age of patients was 22.9 ± 16.5 years, ranging from 2 to 83 years. Boys predominate over girls in the 0–10 year age group (57 vs 25; </w:t>
      </w:r>
      <w:r>
        <w:rPr>
          <w:rFonts w:ascii="Times New Roman" w:eastAsia="Times New Roman" w:hAnsi="Times New Roman" w:cs="Times New Roman"/>
          <w:color w:val="000000"/>
          <w:sz w:val="28"/>
          <w:szCs w:val="28"/>
        </w:rPr>
        <w:t>χ² = 22.9;</w:t>
      </w:r>
      <w:r>
        <w:rPr>
          <w:color w:val="000000"/>
        </w:rPr>
        <w:t xml:space="preserve"> </w:t>
      </w:r>
      <w:r>
        <w:rPr>
          <w:rFonts w:ascii="Times New Roman" w:eastAsia="Times New Roman" w:hAnsi="Times New Roman" w:cs="Times New Roman"/>
          <w:color w:val="000000"/>
          <w:sz w:val="28"/>
          <w:szCs w:val="28"/>
        </w:rPr>
        <w:t>df = 1; p &lt; 0.001). The vast majority of patients lived in urban areas (283; 82.5%). By occupation, the most common groups were schoolchildren (112; 32.7%), office workers (70; 20.4%), and preschool children (45; 13.1%).</w:t>
      </w:r>
    </w:p>
    <w:p w14:paraId="00000030" w14:textId="77777777" w:rsidR="00CC134E" w:rsidRDefault="005336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highlight w:val="yellow"/>
        </w:rPr>
      </w:pPr>
      <w:r>
        <w:rPr>
          <w:rFonts w:ascii="Times New Roman" w:eastAsia="Times New Roman" w:hAnsi="Times New Roman" w:cs="Times New Roman"/>
          <w:color w:val="000000"/>
          <w:sz w:val="28"/>
          <w:szCs w:val="28"/>
        </w:rPr>
        <w:t>According to clinical data prior to laboratory confirmation, the most frequently suspected forms were tinea corporis in 199 patients (58.0%), tinea capitis in 95 patients (27.7%), and tinea cruris in 49 patients (14.3%). In cases of tinea capitis, single o</w:t>
      </w:r>
      <w:r>
        <w:rPr>
          <w:rFonts w:ascii="Times New Roman" w:eastAsia="Times New Roman" w:hAnsi="Times New Roman" w:cs="Times New Roman"/>
          <w:color w:val="000000"/>
          <w:sz w:val="28"/>
          <w:szCs w:val="28"/>
        </w:rPr>
        <w:t xml:space="preserve">r multiple </w:t>
      </w:r>
      <w:bookmarkStart w:id="1" w:name="_GoBack"/>
      <w:r>
        <w:rPr>
          <w:rFonts w:ascii="Times New Roman" w:eastAsia="Times New Roman" w:hAnsi="Times New Roman" w:cs="Times New Roman"/>
          <w:color w:val="000000"/>
          <w:sz w:val="28"/>
          <w:szCs w:val="28"/>
        </w:rPr>
        <w:t>erythematous-squamous patches with hair loss in the parietal region, 1–2 cm in diameter, were most often observed. In tinea corporis, the eruptions presented as typical annular patches with an erythematous rim along the periphery, most often loc</w:t>
      </w:r>
      <w:r>
        <w:rPr>
          <w:rFonts w:ascii="Times New Roman" w:eastAsia="Times New Roman" w:hAnsi="Times New Roman" w:cs="Times New Roman"/>
          <w:color w:val="000000"/>
          <w:sz w:val="28"/>
          <w:szCs w:val="28"/>
        </w:rPr>
        <w:t xml:space="preserve">alized on the extremities. In tinea cruris, extensive confluent erythematous patches with well-defined borders and a peripheral inflammatory </w:t>
      </w:r>
      <w:bookmarkEnd w:id="1"/>
      <w:r>
        <w:rPr>
          <w:rFonts w:ascii="Times New Roman" w:eastAsia="Times New Roman" w:hAnsi="Times New Roman" w:cs="Times New Roman"/>
          <w:color w:val="000000"/>
          <w:sz w:val="28"/>
          <w:szCs w:val="28"/>
        </w:rPr>
        <w:t>rim were detected.</w:t>
      </w:r>
    </w:p>
    <w:p w14:paraId="00000031" w14:textId="77777777" w:rsidR="00CC134E" w:rsidRDefault="005336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highlight w:val="yellow"/>
        </w:rPr>
      </w:pPr>
      <w:r>
        <w:rPr>
          <w:rFonts w:ascii="Times New Roman" w:eastAsia="Times New Roman" w:hAnsi="Times New Roman" w:cs="Times New Roman"/>
          <w:color w:val="000000"/>
          <w:sz w:val="28"/>
          <w:szCs w:val="28"/>
        </w:rPr>
        <w:t>Tinea capitis was detected mainly in children (median age 11 years), tinea corporis in adolescen</w:t>
      </w:r>
      <w:r>
        <w:rPr>
          <w:rFonts w:ascii="Times New Roman" w:eastAsia="Times New Roman" w:hAnsi="Times New Roman" w:cs="Times New Roman"/>
          <w:color w:val="000000"/>
          <w:sz w:val="28"/>
          <w:szCs w:val="28"/>
        </w:rPr>
        <w:t>ts (17 years), and tinea cruris in adults (27 years). Among patients with tinea capitis and tinea cruris, there was a predominance of male (74.3% and 74.4%, respectively).</w:t>
      </w:r>
      <w:r>
        <w:t xml:space="preserve"> </w:t>
      </w:r>
      <w:r>
        <w:rPr>
          <w:rFonts w:ascii="Times New Roman" w:eastAsia="Times New Roman" w:hAnsi="Times New Roman" w:cs="Times New Roman"/>
          <w:color w:val="000000"/>
          <w:sz w:val="28"/>
          <w:szCs w:val="28"/>
        </w:rPr>
        <w:t>Differences in age and gender among the groups were statistically significant (p &lt; 0</w:t>
      </w:r>
      <w:r>
        <w:rPr>
          <w:rFonts w:ascii="Times New Roman" w:eastAsia="Times New Roman" w:hAnsi="Times New Roman" w:cs="Times New Roman"/>
          <w:color w:val="000000"/>
          <w:sz w:val="28"/>
          <w:szCs w:val="28"/>
        </w:rPr>
        <w:t>.01). The prevalence of tinea cruris is noted in adult men, and tinea capitis is noted in children, mainly boys.  In 70.5% of patients, the duration of the disease at presentation was less than 30 days. Only 4.4%</w:t>
      </w:r>
      <w:r>
        <w:t xml:space="preserve"> </w:t>
      </w:r>
      <w:r>
        <w:rPr>
          <w:rFonts w:ascii="Times New Roman" w:eastAsia="Times New Roman" w:hAnsi="Times New Roman" w:cs="Times New Roman"/>
          <w:color w:val="000000"/>
          <w:sz w:val="28"/>
          <w:szCs w:val="28"/>
        </w:rPr>
        <w:t>of patients presented later than 6 months a</w:t>
      </w:r>
      <w:r>
        <w:rPr>
          <w:rFonts w:ascii="Times New Roman" w:eastAsia="Times New Roman" w:hAnsi="Times New Roman" w:cs="Times New Roman"/>
          <w:color w:val="000000"/>
          <w:sz w:val="28"/>
          <w:szCs w:val="28"/>
        </w:rPr>
        <w:t>fter the onset of symptoms.</w:t>
      </w:r>
    </w:p>
    <w:p w14:paraId="00000032" w14:textId="77777777" w:rsidR="00CC134E" w:rsidRDefault="005336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bookmarkStart w:id="2" w:name="_heading=h.y1jb8m3pcwpz" w:colFirst="0" w:colLast="0"/>
      <w:bookmarkEnd w:id="2"/>
      <w:r>
        <w:rPr>
          <w:rFonts w:ascii="Times New Roman" w:eastAsia="Times New Roman" w:hAnsi="Times New Roman" w:cs="Times New Roman"/>
          <w:sz w:val="28"/>
          <w:szCs w:val="28"/>
        </w:rPr>
        <w:t>In a study of epidemiological factors in children under 18 years of age (n=160), the most common risk factors were contact with cats (45.0%), contact with an infected relative (24.4%), participation in contact sports (30.0%), an</w:t>
      </w:r>
      <w:r>
        <w:rPr>
          <w:rFonts w:ascii="Times New Roman" w:eastAsia="Times New Roman" w:hAnsi="Times New Roman" w:cs="Times New Roman"/>
          <w:sz w:val="28"/>
          <w:szCs w:val="28"/>
        </w:rPr>
        <w:t>d visiting saunas (17.5%). Participation in contact sports (χ² = 10.805; df = 1; p &lt; 0.01) and visiting saunas (χ² = 4.853; df = 1; p &lt; 0.05) were more often associated with tinea corporis, while contact with cats (χ² = 8.509; df = 1; p &lt; 0.01), in contras</w:t>
      </w:r>
      <w:r>
        <w:rPr>
          <w:rFonts w:ascii="Times New Roman" w:eastAsia="Times New Roman" w:hAnsi="Times New Roman" w:cs="Times New Roman"/>
          <w:sz w:val="28"/>
          <w:szCs w:val="28"/>
        </w:rPr>
        <w:t>t, was more often observed in patients with tinea capitis.  Multivariate logistic regression analysis (AUC = 0.755; 95% CI: 0.702–0.808) showed that significant predictors of dermatophytosis in children were: contact with a cat (AOR = 5.35; p = 0.002), con</w:t>
      </w:r>
      <w:r>
        <w:rPr>
          <w:rFonts w:ascii="Times New Roman" w:eastAsia="Times New Roman" w:hAnsi="Times New Roman" w:cs="Times New Roman"/>
          <w:sz w:val="28"/>
          <w:szCs w:val="28"/>
        </w:rPr>
        <w:t>tact with an infected relative (AOR = 5.26; p = 0.009), participation in contact sports (AOR = 4.91; p = 0.016), visiting saunas (AOR = 3.93; p = 0.039), male sex (AOR = 2.84; p = 0.024), and age 0–10 years (AOR = 2.52; p = 0.049). Based on these data, a r</w:t>
      </w:r>
      <w:r>
        <w:rPr>
          <w:rFonts w:ascii="Times New Roman" w:eastAsia="Times New Roman" w:hAnsi="Times New Roman" w:cs="Times New Roman"/>
          <w:sz w:val="28"/>
          <w:szCs w:val="28"/>
        </w:rPr>
        <w:t xml:space="preserve">isk assessment scale for dermatophytosis in children was developed (AUC = 0.705; 95% CI: 0.661–0.749), including six risk factors with a maximum total score of 49 points, categorized into low (0–19 points), moderate (20–30 points), and high (31 points and </w:t>
      </w:r>
      <w:r>
        <w:rPr>
          <w:rFonts w:ascii="Times New Roman" w:eastAsia="Times New Roman" w:hAnsi="Times New Roman" w:cs="Times New Roman"/>
          <w:sz w:val="28"/>
          <w:szCs w:val="28"/>
        </w:rPr>
        <w:t>above) risk levels.</w:t>
      </w:r>
    </w:p>
    <w:p w14:paraId="00000033" w14:textId="77777777" w:rsidR="00CC134E" w:rsidRDefault="005336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 similar analysis conducted in adult patients (n=183) showed that the most common behavioral and social factors were sexual contact with an infected or unknown partner (28.4%), contact with cats (23.5%), visiting saunas (20.2%), and vi</w:t>
      </w:r>
      <w:r>
        <w:rPr>
          <w:rFonts w:ascii="Times New Roman" w:eastAsia="Times New Roman" w:hAnsi="Times New Roman" w:cs="Times New Roman"/>
          <w:color w:val="000000"/>
          <w:sz w:val="28"/>
          <w:szCs w:val="28"/>
        </w:rPr>
        <w:t>siting massage salons (17.5%). A statistically significant association was found between sex and the clinical form of dermatophytosis (χ² = 12.057; df = 2; p = 0.0024): men were significantly more often affected by tinea cruris, while in women, tinea capit</w:t>
      </w:r>
      <w:r>
        <w:rPr>
          <w:rFonts w:ascii="Times New Roman" w:eastAsia="Times New Roman" w:hAnsi="Times New Roman" w:cs="Times New Roman"/>
          <w:color w:val="000000"/>
          <w:sz w:val="28"/>
          <w:szCs w:val="28"/>
        </w:rPr>
        <w:t>is and tinea corporis predominated. A relationship was also found between contact with an infected relative and the clinical form of dermatophytosis (p = 0.0091; Fisher’s exact test): in the presence of such contact, cases of tinea capitis and tinea corpor</w:t>
      </w:r>
      <w:r>
        <w:rPr>
          <w:rFonts w:ascii="Times New Roman" w:eastAsia="Times New Roman" w:hAnsi="Times New Roman" w:cs="Times New Roman"/>
          <w:color w:val="000000"/>
          <w:sz w:val="28"/>
          <w:szCs w:val="28"/>
        </w:rPr>
        <w:t>is were more frequently observed, while tinea cruris was almost never encountered. A significant association was also found between sexual contact with an infected or unknown partner and the clinical form of the disease (χ² = 50.99; df = 2; p &lt; 0.0001): in</w:t>
      </w:r>
      <w:r>
        <w:rPr>
          <w:rFonts w:ascii="Times New Roman" w:eastAsia="Times New Roman" w:hAnsi="Times New Roman" w:cs="Times New Roman"/>
          <w:color w:val="000000"/>
          <w:sz w:val="28"/>
          <w:szCs w:val="28"/>
        </w:rPr>
        <w:t xml:space="preserve"> the presence of this factor, the proportion of tinea cruris increased markedly. In addition, a significant association was found between contact with a cat and the clinical form of dermatophytosis (χ² = 31,46; df = 2; p &lt; 0.0001): tinea capitis was more o</w:t>
      </w:r>
      <w:r>
        <w:rPr>
          <w:rFonts w:ascii="Times New Roman" w:eastAsia="Times New Roman" w:hAnsi="Times New Roman" w:cs="Times New Roman"/>
          <w:color w:val="000000"/>
          <w:sz w:val="28"/>
          <w:szCs w:val="28"/>
        </w:rPr>
        <w:t>ften detected in those who had contact with animals. According to the results of multivariate logistic regression analysis (AUC = 0.772; 95% CI: 0.722–0.822), the following factors were significant risk factors for dermatophytosis: sexual contact with an i</w:t>
      </w:r>
      <w:r>
        <w:rPr>
          <w:rFonts w:ascii="Times New Roman" w:eastAsia="Times New Roman" w:hAnsi="Times New Roman" w:cs="Times New Roman"/>
          <w:color w:val="000000"/>
          <w:sz w:val="28"/>
          <w:szCs w:val="28"/>
        </w:rPr>
        <w:t>nfected or unknown partner (AOR = 4.01; p = 0.002), contact with an infected relative (AOR = 3.26; p = 0.028), contact with a cat (AOR = 3.00; p = 0.012), participation in contact sports (AOR = 3.71; p = 0.044), visiting massage salons (AOR = 3.54; p = 0.0</w:t>
      </w:r>
      <w:r>
        <w:rPr>
          <w:rFonts w:ascii="Times New Roman" w:eastAsia="Times New Roman" w:hAnsi="Times New Roman" w:cs="Times New Roman"/>
          <w:color w:val="000000"/>
          <w:sz w:val="28"/>
          <w:szCs w:val="28"/>
        </w:rPr>
        <w:t>12), and visiting saunas (AOR = 2.45; p = 0.049). A corresponding risk assessment scale for adults was developed (AUC = 0.749; 95% CI: 0.705–0.793). The maximum total score of the scale is 52, with three risk levels: low (0–20 points), moderate (21–35 poin</w:t>
      </w:r>
      <w:r>
        <w:rPr>
          <w:rFonts w:ascii="Times New Roman" w:eastAsia="Times New Roman" w:hAnsi="Times New Roman" w:cs="Times New Roman"/>
          <w:color w:val="000000"/>
          <w:sz w:val="28"/>
          <w:szCs w:val="28"/>
        </w:rPr>
        <w:t>ts), and high (36 points and above).</w:t>
      </w:r>
    </w:p>
    <w:p w14:paraId="00000034" w14:textId="77777777" w:rsidR="00CC134E" w:rsidRDefault="0053361E">
      <w:pPr>
        <w:widowControl w:val="0"/>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Molecular identification of dermatophyte pathogens was performed on 150 clinical isolates obtained from patients with confirmed dermatophytosis. All identified isolates were identified as belonging to five species: </w:t>
      </w:r>
      <w:r>
        <w:rPr>
          <w:rFonts w:ascii="Times New Roman" w:eastAsia="Times New Roman" w:hAnsi="Times New Roman" w:cs="Times New Roman"/>
          <w:i/>
          <w:color w:val="000000"/>
          <w:sz w:val="28"/>
          <w:szCs w:val="28"/>
        </w:rPr>
        <w:t>Micr</w:t>
      </w:r>
      <w:r>
        <w:rPr>
          <w:rFonts w:ascii="Times New Roman" w:eastAsia="Times New Roman" w:hAnsi="Times New Roman" w:cs="Times New Roman"/>
          <w:i/>
          <w:color w:val="000000"/>
          <w:sz w:val="28"/>
          <w:szCs w:val="28"/>
        </w:rPr>
        <w:t>osporum canis</w:t>
      </w:r>
      <w:r>
        <w:rPr>
          <w:rFonts w:ascii="Times New Roman" w:eastAsia="Times New Roman" w:hAnsi="Times New Roman" w:cs="Times New Roman"/>
          <w:color w:val="000000"/>
          <w:sz w:val="28"/>
          <w:szCs w:val="28"/>
        </w:rPr>
        <w:t xml:space="preserve"> (n=81), </w:t>
      </w:r>
      <w:r>
        <w:rPr>
          <w:rFonts w:ascii="Times New Roman" w:eastAsia="Times New Roman" w:hAnsi="Times New Roman" w:cs="Times New Roman"/>
          <w:i/>
          <w:color w:val="000000"/>
          <w:sz w:val="28"/>
          <w:szCs w:val="28"/>
        </w:rPr>
        <w:t>Trichophyton tonsurans</w:t>
      </w:r>
      <w:r>
        <w:rPr>
          <w:rFonts w:ascii="Times New Roman" w:eastAsia="Times New Roman" w:hAnsi="Times New Roman" w:cs="Times New Roman"/>
          <w:color w:val="000000"/>
          <w:sz w:val="28"/>
          <w:szCs w:val="28"/>
        </w:rPr>
        <w:t xml:space="preserve"> (n=24), </w:t>
      </w:r>
      <w:r>
        <w:rPr>
          <w:rFonts w:ascii="Times New Roman" w:eastAsia="Times New Roman" w:hAnsi="Times New Roman" w:cs="Times New Roman"/>
          <w:i/>
          <w:color w:val="000000"/>
          <w:sz w:val="28"/>
          <w:szCs w:val="28"/>
        </w:rPr>
        <w:t>Trichophyton verrucosum</w:t>
      </w:r>
      <w:r>
        <w:rPr>
          <w:rFonts w:ascii="Times New Roman" w:eastAsia="Times New Roman" w:hAnsi="Times New Roman" w:cs="Times New Roman"/>
          <w:color w:val="000000"/>
          <w:sz w:val="28"/>
          <w:szCs w:val="28"/>
        </w:rPr>
        <w:t xml:space="preserve"> (n=20),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(n=18), and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xml:space="preserve"> (n=7). It was found that 101 isolates (67.3%) belonged to zoophilic species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Trichophyton verrucosum</w:t>
      </w:r>
      <w:r>
        <w:rPr>
          <w:rFonts w:ascii="Times New Roman" w:eastAsia="Times New Roman" w:hAnsi="Times New Roman" w:cs="Times New Roman"/>
          <w:color w:val="000000"/>
          <w:sz w:val="28"/>
          <w:szCs w:val="28"/>
        </w:rPr>
        <w:t>), and 49 (32.7%) to anthropophilic species (</w:t>
      </w:r>
      <w:r>
        <w:rPr>
          <w:rFonts w:ascii="Times New Roman" w:eastAsia="Times New Roman" w:hAnsi="Times New Roman" w:cs="Times New Roman"/>
          <w:i/>
          <w:color w:val="000000"/>
          <w:sz w:val="28"/>
          <w:szCs w:val="28"/>
        </w:rPr>
        <w:t>Trichophyton tonsurans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xml:space="preserve">). The most common pathogen was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accounting for 54.0% of all identified strains.</w:t>
      </w:r>
    </w:p>
    <w:p w14:paraId="00000035" w14:textId="77777777" w:rsidR="00CC134E" w:rsidRDefault="005336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highlight w:val="yellow"/>
        </w:rPr>
      </w:pPr>
      <w:r>
        <w:rPr>
          <w:rFonts w:ascii="Times New Roman" w:eastAsia="Times New Roman" w:hAnsi="Times New Roman" w:cs="Times New Roman"/>
          <w:color w:val="000000"/>
          <w:sz w:val="28"/>
          <w:szCs w:val="28"/>
        </w:rPr>
        <w:t>A statisticall</w:t>
      </w:r>
      <w:r>
        <w:rPr>
          <w:rFonts w:ascii="Times New Roman" w:eastAsia="Times New Roman" w:hAnsi="Times New Roman" w:cs="Times New Roman"/>
          <w:color w:val="000000"/>
          <w:sz w:val="28"/>
          <w:szCs w:val="28"/>
        </w:rPr>
        <w:t>y significant association was established between dermatophyte species and the clinical form of dermatophytosis (χ² = 129.83; p &lt; 0.001), as well as between the species of the pathogen and the patients’ age category (χ² = 33.33; p &lt; 0.001). In cases of tin</w:t>
      </w:r>
      <w:r>
        <w:rPr>
          <w:rFonts w:ascii="Times New Roman" w:eastAsia="Times New Roman" w:hAnsi="Times New Roman" w:cs="Times New Roman"/>
          <w:color w:val="000000"/>
          <w:sz w:val="28"/>
          <w:szCs w:val="28"/>
        </w:rPr>
        <w:t xml:space="preserve">ea capitis and tinea corporis,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predominated (68.6% and 62.1%, respectively), whereas in tinea cruris,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(72%) and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xml:space="preserve"> (20%) were most frequently identified. Zoophilic species were more often ob</w:t>
      </w:r>
      <w:r>
        <w:rPr>
          <w:rFonts w:ascii="Times New Roman" w:eastAsia="Times New Roman" w:hAnsi="Times New Roman" w:cs="Times New Roman"/>
          <w:color w:val="000000"/>
          <w:sz w:val="28"/>
          <w:szCs w:val="28"/>
        </w:rPr>
        <w:t>served in children, while in adults a higher proportion of anthropophilic species and greater species diversity were found.</w:t>
      </w:r>
    </w:p>
    <w:p w14:paraId="00000036" w14:textId="77777777" w:rsidR="00CC134E" w:rsidRDefault="005336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was most frequently identified in the 0–10-year age group (73.3%), while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was predominan</w:t>
      </w:r>
      <w:r>
        <w:rPr>
          <w:rFonts w:ascii="Times New Roman" w:eastAsia="Times New Roman" w:hAnsi="Times New Roman" w:cs="Times New Roman"/>
          <w:color w:val="000000"/>
          <w:sz w:val="28"/>
          <w:szCs w:val="28"/>
        </w:rPr>
        <w:t xml:space="preserve">tly found in individuals </w:t>
      </w:r>
      <w:r>
        <w:rPr>
          <w:rFonts w:ascii="Times New Roman" w:eastAsia="Times New Roman" w:hAnsi="Times New Roman" w:cs="Times New Roman"/>
          <w:color w:val="000000"/>
          <w:sz w:val="28"/>
          <w:szCs w:val="28"/>
        </w:rPr>
        <w:lastRenderedPageBreak/>
        <w:t xml:space="preserve">over 21 years of age. In cases of tinea capitis, the median age for zoophilic etiology was 9.5 years, and for anthropophilic etiology, 15 years. For tinea corporis, the age differences between the groups were minimal. Tinea cruris </w:t>
      </w:r>
      <w:r>
        <w:rPr>
          <w:rFonts w:ascii="Times New Roman" w:eastAsia="Times New Roman" w:hAnsi="Times New Roman" w:cs="Times New Roman"/>
          <w:color w:val="000000"/>
          <w:sz w:val="28"/>
          <w:szCs w:val="28"/>
        </w:rPr>
        <w:t xml:space="preserve">was observed almost exclusively in adults (median 28.5 years). Analysis of seasonal variations showed that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and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were more frequently identified in the spring–summer period, while </w:t>
      </w:r>
      <w:r>
        <w:rPr>
          <w:rFonts w:ascii="Times New Roman" w:eastAsia="Times New Roman" w:hAnsi="Times New Roman" w:cs="Times New Roman"/>
          <w:i/>
          <w:color w:val="000000"/>
          <w:sz w:val="28"/>
          <w:szCs w:val="28"/>
        </w:rPr>
        <w:t>Trichophyton verrucosum</w:t>
      </w:r>
      <w:r>
        <w:rPr>
          <w:rFonts w:ascii="Times New Roman" w:eastAsia="Times New Roman" w:hAnsi="Times New Roman" w:cs="Times New Roman"/>
          <w:color w:val="000000"/>
          <w:sz w:val="28"/>
          <w:szCs w:val="28"/>
        </w:rPr>
        <w:t xml:space="preserve"> and </w:t>
      </w:r>
      <w:r>
        <w:rPr>
          <w:rFonts w:ascii="Times New Roman" w:eastAsia="Times New Roman" w:hAnsi="Times New Roman" w:cs="Times New Roman"/>
          <w:i/>
          <w:color w:val="000000"/>
          <w:sz w:val="28"/>
          <w:szCs w:val="28"/>
        </w:rPr>
        <w:t>Trich</w:t>
      </w:r>
      <w:r>
        <w:rPr>
          <w:rFonts w:ascii="Times New Roman" w:eastAsia="Times New Roman" w:hAnsi="Times New Roman" w:cs="Times New Roman"/>
          <w:i/>
          <w:color w:val="000000"/>
          <w:sz w:val="28"/>
          <w:szCs w:val="28"/>
        </w:rPr>
        <w:t>ophyton tonsurans</w:t>
      </w:r>
      <w:r>
        <w:rPr>
          <w:rFonts w:ascii="Times New Roman" w:eastAsia="Times New Roman" w:hAnsi="Times New Roman" w:cs="Times New Roman"/>
          <w:color w:val="000000"/>
          <w:sz w:val="28"/>
          <w:szCs w:val="28"/>
        </w:rPr>
        <w:t xml:space="preserve"> were more frequently identified in the autumn–winter period. These differences were statistically significant (χ² = 11.34; p = 0.01).</w:t>
      </w:r>
    </w:p>
    <w:p w14:paraId="00000037" w14:textId="77777777" w:rsidR="00CC134E" w:rsidRDefault="005336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Of particular epidemiological significance was the identification of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xml:space="preserve"> in 7 cases </w:t>
      </w:r>
      <w:r>
        <w:rPr>
          <w:rFonts w:ascii="Times New Roman" w:eastAsia="Times New Roman" w:hAnsi="Times New Roman" w:cs="Times New Roman"/>
          <w:color w:val="000000"/>
          <w:sz w:val="28"/>
          <w:szCs w:val="28"/>
        </w:rPr>
        <w:t>(4.7%), previously unreported in Kazakhstan. All patients were residents of Astana, had no history of contact with migrants, and had not traveled outside the region. In most cases, the lesions were localized in the inguinal region and were characterized by</w:t>
      </w:r>
      <w:r>
        <w:rPr>
          <w:rFonts w:ascii="Times New Roman" w:eastAsia="Times New Roman" w:hAnsi="Times New Roman" w:cs="Times New Roman"/>
          <w:color w:val="000000"/>
          <w:sz w:val="28"/>
          <w:szCs w:val="28"/>
        </w:rPr>
        <w:t xml:space="preserve"> a prolonged or recurrent course. In 6 of the 7 patients, reduced efficacy of terbinafine therapy was observed.</w:t>
      </w:r>
    </w:p>
    <w:p w14:paraId="00000038" w14:textId="77777777" w:rsidR="00CC134E" w:rsidRDefault="0053361E">
      <w:pPr>
        <w:widowControl w:val="0"/>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 vitro susceptibility testing of 150 clinical isolates of dermatophytes to terbinafine and itraconazole was performed using the microdilution </w:t>
      </w:r>
      <w:r>
        <w:rPr>
          <w:rFonts w:ascii="Times New Roman" w:eastAsia="Times New Roman" w:hAnsi="Times New Roman" w:cs="Times New Roman"/>
          <w:color w:val="000000"/>
          <w:sz w:val="28"/>
          <w:szCs w:val="28"/>
        </w:rPr>
        <w:t xml:space="preserve">method according to the EUCAST E.Def 11.0 protocol. The isolates included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(n=81), </w:t>
      </w:r>
      <w:r>
        <w:rPr>
          <w:rFonts w:ascii="Times New Roman" w:eastAsia="Times New Roman" w:hAnsi="Times New Roman" w:cs="Times New Roman"/>
          <w:i/>
          <w:color w:val="000000"/>
          <w:sz w:val="28"/>
          <w:szCs w:val="28"/>
        </w:rPr>
        <w:t>Trichophyton tonsurans</w:t>
      </w:r>
      <w:r>
        <w:rPr>
          <w:rFonts w:ascii="Times New Roman" w:eastAsia="Times New Roman" w:hAnsi="Times New Roman" w:cs="Times New Roman"/>
          <w:color w:val="000000"/>
          <w:sz w:val="28"/>
          <w:szCs w:val="28"/>
        </w:rPr>
        <w:t xml:space="preserve"> (n=24), </w:t>
      </w:r>
      <w:r>
        <w:rPr>
          <w:rFonts w:ascii="Times New Roman" w:eastAsia="Times New Roman" w:hAnsi="Times New Roman" w:cs="Times New Roman"/>
          <w:i/>
          <w:color w:val="000000"/>
          <w:sz w:val="28"/>
          <w:szCs w:val="28"/>
        </w:rPr>
        <w:t>Trichophyton verrucosum</w:t>
      </w:r>
      <w:r>
        <w:rPr>
          <w:rFonts w:ascii="Times New Roman" w:eastAsia="Times New Roman" w:hAnsi="Times New Roman" w:cs="Times New Roman"/>
          <w:color w:val="000000"/>
          <w:sz w:val="28"/>
          <w:szCs w:val="28"/>
        </w:rPr>
        <w:t xml:space="preserve"> (n=20),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(n=18), and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xml:space="preserve"> (n=7).</w:t>
      </w:r>
    </w:p>
    <w:p w14:paraId="00000039" w14:textId="77777777" w:rsidR="00CC134E" w:rsidRDefault="005336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MIC values of terbi</w:t>
      </w:r>
      <w:r>
        <w:rPr>
          <w:rFonts w:ascii="Times New Roman" w:eastAsia="Times New Roman" w:hAnsi="Times New Roman" w:cs="Times New Roman"/>
          <w:color w:val="000000"/>
          <w:sz w:val="28"/>
          <w:szCs w:val="28"/>
        </w:rPr>
        <w:t xml:space="preserve">nafine for clinical isolates of dermatophytes ranged widely, from 0.008 to 2.000 mg/L. The lowest MIC values were observed for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(range 0.008–0.125 mg/L, MIC₅₀ – 0.016 mg/L, MIC₉₀ – 0.125 mg/L), </w:t>
      </w:r>
      <w:r>
        <w:rPr>
          <w:rFonts w:ascii="Times New Roman" w:eastAsia="Times New Roman" w:hAnsi="Times New Roman" w:cs="Times New Roman"/>
          <w:i/>
          <w:color w:val="000000"/>
          <w:sz w:val="28"/>
          <w:szCs w:val="28"/>
        </w:rPr>
        <w:t>Trichophyton tonsurans</w:t>
      </w:r>
      <w:r>
        <w:rPr>
          <w:rFonts w:ascii="Times New Roman" w:eastAsia="Times New Roman" w:hAnsi="Times New Roman" w:cs="Times New Roman"/>
          <w:color w:val="000000"/>
          <w:sz w:val="28"/>
          <w:szCs w:val="28"/>
        </w:rPr>
        <w:t xml:space="preserve"> (0.016–0.063 </w:t>
      </w:r>
      <w:r>
        <w:rPr>
          <w:rFonts w:ascii="Times New Roman" w:eastAsia="Times New Roman" w:hAnsi="Times New Roman" w:cs="Times New Roman"/>
          <w:color w:val="000000"/>
          <w:sz w:val="28"/>
          <w:szCs w:val="28"/>
        </w:rPr>
        <w:t xml:space="preserve">mg/L, MIC₅₀ – 0.031 mg/L, MIC₉₀ – 0.063 mg/L), and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(0.016–0.125 mg/L, MIC₅₀ – 0.031 mg/L, MIC₉₀ – 0.063 mg/L). For </w:t>
      </w:r>
      <w:r>
        <w:rPr>
          <w:rFonts w:ascii="Times New Roman" w:eastAsia="Times New Roman" w:hAnsi="Times New Roman" w:cs="Times New Roman"/>
          <w:i/>
          <w:color w:val="000000"/>
          <w:sz w:val="28"/>
          <w:szCs w:val="28"/>
        </w:rPr>
        <w:t>Trichophyton verrucosum</w:t>
      </w:r>
      <w:r>
        <w:rPr>
          <w:rFonts w:ascii="Times New Roman" w:eastAsia="Times New Roman" w:hAnsi="Times New Roman" w:cs="Times New Roman"/>
          <w:color w:val="000000"/>
          <w:sz w:val="28"/>
          <w:szCs w:val="28"/>
        </w:rPr>
        <w:t>, the MIC range was 0.016–0.125 mg/L, MIC₅₀ – 0.031 mg/L, MIC₉₀ – 0.125 mg/L. The highest values wer</w:t>
      </w:r>
      <w:r>
        <w:rPr>
          <w:rFonts w:ascii="Times New Roman" w:eastAsia="Times New Roman" w:hAnsi="Times New Roman" w:cs="Times New Roman"/>
          <w:color w:val="000000"/>
          <w:sz w:val="28"/>
          <w:szCs w:val="28"/>
        </w:rPr>
        <w:t xml:space="preserve">e observed for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xml:space="preserve"> (0.063–2.000 mg/L), with MIC₅₀ – 0.500 mg/L. For the overall sample (n=150), MIC₅₀ was 0.031 mg/L and MIC₉₀ was 0.125 mg/L.</w:t>
      </w:r>
    </w:p>
    <w:p w14:paraId="0000003A" w14:textId="77777777" w:rsidR="00CC134E" w:rsidRDefault="005336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MIC values of itraconazole ranged from 0.008 to 1.000 mg/L. The lowest MIC values were observed for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and </w:t>
      </w:r>
      <w:r>
        <w:rPr>
          <w:rFonts w:ascii="Times New Roman" w:eastAsia="Times New Roman" w:hAnsi="Times New Roman" w:cs="Times New Roman"/>
          <w:i/>
          <w:color w:val="000000"/>
          <w:sz w:val="28"/>
          <w:szCs w:val="28"/>
        </w:rPr>
        <w:t>Trichophyton tonsurans</w:t>
      </w:r>
      <w:r>
        <w:rPr>
          <w:rFonts w:ascii="Times New Roman" w:eastAsia="Times New Roman" w:hAnsi="Times New Roman" w:cs="Times New Roman"/>
          <w:color w:val="000000"/>
          <w:sz w:val="28"/>
          <w:szCs w:val="28"/>
        </w:rPr>
        <w:t>, both ranging from 0.031 to 0.125 mg/L. In both cases, MIC₅₀ was 0.063 mg/L and MIC₉₀ was 0.125 mg</w:t>
      </w:r>
      <w:r>
        <w:rPr>
          <w:rFonts w:ascii="Times New Roman" w:eastAsia="Times New Roman" w:hAnsi="Times New Roman" w:cs="Times New Roman"/>
          <w:color w:val="000000"/>
          <w:sz w:val="28"/>
          <w:szCs w:val="28"/>
        </w:rPr>
        <w:t xml:space="preserve">/L. For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xml:space="preserve">, the range was 0.008–0.125 mg/L, with MIC₅₀ at 0.063 mg/L. </w:t>
      </w:r>
      <w:r>
        <w:rPr>
          <w:rFonts w:ascii="Times New Roman" w:eastAsia="Times New Roman" w:hAnsi="Times New Roman" w:cs="Times New Roman"/>
          <w:i/>
          <w:color w:val="000000"/>
          <w:sz w:val="28"/>
          <w:szCs w:val="28"/>
        </w:rPr>
        <w:t>Trichophyton verrucosum</w:t>
      </w:r>
      <w:r>
        <w:rPr>
          <w:rFonts w:ascii="Times New Roman" w:eastAsia="Times New Roman" w:hAnsi="Times New Roman" w:cs="Times New Roman"/>
          <w:color w:val="000000"/>
          <w:sz w:val="28"/>
          <w:szCs w:val="28"/>
        </w:rPr>
        <w:t xml:space="preserve"> showed a wider range (0.125–1.000 mg/L), with MIC₅₀ at 0.500 mg/L and MIC₉₀ at 1.000 mg/L. For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MIC values ranged from 0.06</w:t>
      </w:r>
      <w:r>
        <w:rPr>
          <w:rFonts w:ascii="Times New Roman" w:eastAsia="Times New Roman" w:hAnsi="Times New Roman" w:cs="Times New Roman"/>
          <w:color w:val="000000"/>
          <w:sz w:val="28"/>
          <w:szCs w:val="28"/>
        </w:rPr>
        <w:t>3 to 1.000 mg/L, with MIC₅₀ at 0.250 mg/L and MIC₉₀ at 0.500 mg/L. For the overall sample across all species, MIC₅₀ was 0.125 mg/L and MIC₉₀ was 0.500 mg/L.</w:t>
      </w:r>
    </w:p>
    <w:p w14:paraId="0000003B" w14:textId="77777777" w:rsidR="00CC134E" w:rsidRDefault="005336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highlight w:val="yellow"/>
        </w:rPr>
      </w:pPr>
      <w:r>
        <w:rPr>
          <w:rFonts w:ascii="Times New Roman" w:eastAsia="Times New Roman" w:hAnsi="Times New Roman" w:cs="Times New Roman"/>
          <w:color w:val="000000"/>
          <w:sz w:val="28"/>
          <w:szCs w:val="28"/>
        </w:rPr>
        <w:t xml:space="preserve">The tentative ECOFF for terbinafine (0.125 mg/L; EUCAST, E.Def 11.0, 2022) was exceeded in 5 of 7 </w:t>
      </w:r>
      <w:r>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richophyton indotineae</w:t>
      </w:r>
      <w:r>
        <w:rPr>
          <w:rFonts w:ascii="Times New Roman" w:eastAsia="Times New Roman" w:hAnsi="Times New Roman" w:cs="Times New Roman"/>
          <w:color w:val="000000"/>
          <w:sz w:val="28"/>
          <w:szCs w:val="28"/>
        </w:rPr>
        <w:t xml:space="preserve"> isolates (71.4%). However, the MIC values of itraconazole for this species did not exceed the tentative ECOFF (0.250 mg/L). </w:t>
      </w:r>
    </w:p>
    <w:p w14:paraId="0000003C" w14:textId="77777777" w:rsidR="00CC134E" w:rsidRDefault="005336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 all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isolates, the MIC values for both agents remained within the wild-type ran</w:t>
      </w:r>
      <w:r>
        <w:rPr>
          <w:rFonts w:ascii="Times New Roman" w:eastAsia="Times New Roman" w:hAnsi="Times New Roman" w:cs="Times New Roman"/>
          <w:color w:val="000000"/>
          <w:sz w:val="28"/>
          <w:szCs w:val="28"/>
        </w:rPr>
        <w:t xml:space="preserve">ge. Notably, official ECOFFs for this species have not been established, so interpretation was based on data for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w:t>
      </w:r>
    </w:p>
    <w:p w14:paraId="0000003D" w14:textId="77777777" w:rsidR="00CC134E" w:rsidRDefault="0053361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For </w:t>
      </w:r>
      <w:r>
        <w:rPr>
          <w:rFonts w:ascii="Times New Roman" w:eastAsia="Times New Roman" w:hAnsi="Times New Roman" w:cs="Times New Roman"/>
          <w:i/>
          <w:sz w:val="28"/>
          <w:szCs w:val="28"/>
        </w:rPr>
        <w:t>Trichophyton tonsurans</w:t>
      </w:r>
      <w:r>
        <w:rPr>
          <w:rFonts w:ascii="Times New Roman" w:eastAsia="Times New Roman" w:hAnsi="Times New Roman" w:cs="Times New Roman"/>
          <w:sz w:val="28"/>
          <w:szCs w:val="28"/>
        </w:rPr>
        <w:t xml:space="preserve">, the MIC values of terbinafine and itraconazole were comparable to those reported in an Iranian study (Pashootan et al., 2022). In that study, using the broth microdilution method (CLSI M38-A2), the MIC range of terbinafine was 0.003–0.125 mg/L, and that </w:t>
      </w:r>
      <w:r>
        <w:rPr>
          <w:rFonts w:ascii="Times New Roman" w:eastAsia="Times New Roman" w:hAnsi="Times New Roman" w:cs="Times New Roman"/>
          <w:sz w:val="28"/>
          <w:szCs w:val="28"/>
        </w:rPr>
        <w:t xml:space="preserve">of itraconazole was 0.06–8 mg/L. For terbinafine, the obtained data show no evidence of decreased susceptibility and indicate homogeneity among the studied isolates. For itraconazole, the MIC range was significantly narrower than reported in the published </w:t>
      </w:r>
      <w:r>
        <w:rPr>
          <w:rFonts w:ascii="Times New Roman" w:eastAsia="Times New Roman" w:hAnsi="Times New Roman" w:cs="Times New Roman"/>
          <w:sz w:val="28"/>
          <w:szCs w:val="28"/>
        </w:rPr>
        <w:t xml:space="preserve">data, which may reflect lower variability of the population in our sample. At the same time, due to the absence of approved ECOFFs and clinical breakpoints for </w:t>
      </w:r>
      <w:r>
        <w:rPr>
          <w:rFonts w:ascii="Times New Roman" w:eastAsia="Times New Roman" w:hAnsi="Times New Roman" w:cs="Times New Roman"/>
          <w:i/>
          <w:sz w:val="28"/>
          <w:szCs w:val="28"/>
        </w:rPr>
        <w:t>Trichophyton tonsurans</w:t>
      </w:r>
      <w:r>
        <w:rPr>
          <w:rFonts w:ascii="Times New Roman" w:eastAsia="Times New Roman" w:hAnsi="Times New Roman" w:cs="Times New Roman"/>
          <w:sz w:val="28"/>
          <w:szCs w:val="28"/>
        </w:rPr>
        <w:t>, these results should be interpreted with caution.</w:t>
      </w:r>
    </w:p>
    <w:p w14:paraId="0000003E" w14:textId="77777777" w:rsidR="00CC134E" w:rsidRDefault="0053361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w:t>
      </w:r>
      <w:r>
        <w:rPr>
          <w:rFonts w:ascii="Times New Roman" w:eastAsia="Times New Roman" w:hAnsi="Times New Roman" w:cs="Times New Roman"/>
          <w:i/>
          <w:sz w:val="28"/>
          <w:szCs w:val="28"/>
        </w:rPr>
        <w:t>Microsporum canis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and </w:t>
      </w:r>
      <w:r>
        <w:rPr>
          <w:rFonts w:ascii="Times New Roman" w:eastAsia="Times New Roman" w:hAnsi="Times New Roman" w:cs="Times New Roman"/>
          <w:i/>
          <w:sz w:val="28"/>
          <w:szCs w:val="28"/>
        </w:rPr>
        <w:t>Trichophyton verrucosum</w:t>
      </w:r>
      <w:r>
        <w:rPr>
          <w:rFonts w:ascii="Times New Roman" w:eastAsia="Times New Roman" w:hAnsi="Times New Roman" w:cs="Times New Roman"/>
          <w:sz w:val="28"/>
          <w:szCs w:val="28"/>
        </w:rPr>
        <w:t>, in the absence of official ECOFFs, the interpretation was descriptive.</w:t>
      </w:r>
    </w:p>
    <w:p w14:paraId="0000003F" w14:textId="77777777" w:rsidR="00CC134E" w:rsidRDefault="005336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Intraspecific comparison of MIC values for terbinafine and itraconazole (Wilcoxon test) showed statistically significant differences for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p &lt; 0.0001), </w:t>
      </w:r>
      <w:r>
        <w:rPr>
          <w:rFonts w:ascii="Times New Roman" w:eastAsia="Times New Roman" w:hAnsi="Times New Roman" w:cs="Times New Roman"/>
          <w:i/>
          <w:color w:val="000000"/>
          <w:sz w:val="28"/>
          <w:szCs w:val="28"/>
        </w:rPr>
        <w:t>Trichophyton verrucosum</w:t>
      </w:r>
      <w:r>
        <w:rPr>
          <w:rFonts w:ascii="Times New Roman" w:eastAsia="Times New Roman" w:hAnsi="Times New Roman" w:cs="Times New Roman"/>
          <w:color w:val="000000"/>
          <w:sz w:val="28"/>
          <w:szCs w:val="28"/>
        </w:rPr>
        <w:t xml:space="preserve"> (p = 0.0001), </w:t>
      </w:r>
      <w:r>
        <w:rPr>
          <w:rFonts w:ascii="Times New Roman" w:eastAsia="Times New Roman" w:hAnsi="Times New Roman" w:cs="Times New Roman"/>
          <w:i/>
          <w:color w:val="000000"/>
          <w:sz w:val="28"/>
          <w:szCs w:val="28"/>
        </w:rPr>
        <w:t>Trichophyton tonsurans</w:t>
      </w:r>
      <w:r>
        <w:rPr>
          <w:rFonts w:ascii="Times New Roman" w:eastAsia="Times New Roman" w:hAnsi="Times New Roman" w:cs="Times New Roman"/>
          <w:color w:val="000000"/>
          <w:sz w:val="28"/>
          <w:szCs w:val="28"/>
        </w:rPr>
        <w:t xml:space="preserve"> (p &lt; 0.0021), and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(p &lt; 0.0120). For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the differences were also statistically significant (p = 0.0431), however, due to the small sa</w:t>
      </w:r>
      <w:r>
        <w:rPr>
          <w:rFonts w:ascii="Times New Roman" w:eastAsia="Times New Roman" w:hAnsi="Times New Roman" w:cs="Times New Roman"/>
          <w:color w:val="000000"/>
          <w:sz w:val="28"/>
          <w:szCs w:val="28"/>
        </w:rPr>
        <w:t>mple size (n = 7), this result should be interpreted with caution.</w:t>
      </w:r>
    </w:p>
    <w:p w14:paraId="00000040" w14:textId="77777777" w:rsidR="00CC134E" w:rsidRDefault="005336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Between-species analysis (Kruskal–Wallis test) revealed statistically significant differences in MIC values for both agents (terbinafine: H = 51.48; p &lt; 0.00001; itraconazole: H = 40.98; p </w:t>
      </w:r>
      <w:r>
        <w:rPr>
          <w:rFonts w:ascii="Times New Roman" w:eastAsia="Times New Roman" w:hAnsi="Times New Roman" w:cs="Times New Roman"/>
          <w:color w:val="000000"/>
          <w:sz w:val="28"/>
          <w:szCs w:val="28"/>
        </w:rPr>
        <w:t xml:space="preserve">&lt; 0.00001). According to Dunn’s post hoc test with Bonferroni correction, for terbinafine, significant differences were observed between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and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xml:space="preserve"> (p = 0.0003), as well as between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and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(p &lt; 0.00001). For itraconazole, significant differences were observed between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and </w:t>
      </w:r>
      <w:r>
        <w:rPr>
          <w:rFonts w:ascii="Times New Roman" w:eastAsia="Times New Roman" w:hAnsi="Times New Roman" w:cs="Times New Roman"/>
          <w:i/>
          <w:color w:val="000000"/>
          <w:sz w:val="28"/>
          <w:szCs w:val="28"/>
        </w:rPr>
        <w:t>Trichophyton tonsurans</w:t>
      </w:r>
      <w:r>
        <w:rPr>
          <w:rFonts w:ascii="Times New Roman" w:eastAsia="Times New Roman" w:hAnsi="Times New Roman" w:cs="Times New Roman"/>
          <w:color w:val="000000"/>
          <w:sz w:val="28"/>
          <w:szCs w:val="28"/>
        </w:rPr>
        <w:t xml:space="preserve"> (p = 0.0002),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and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(p = 0.0002), and </w:t>
      </w:r>
      <w:r>
        <w:rPr>
          <w:rFonts w:ascii="Times New Roman" w:eastAsia="Times New Roman" w:hAnsi="Times New Roman" w:cs="Times New Roman"/>
          <w:i/>
          <w:color w:val="000000"/>
          <w:sz w:val="28"/>
          <w:szCs w:val="28"/>
        </w:rPr>
        <w:t>Trichophyton verrucosum</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and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(p = 0.0021).</w:t>
      </w:r>
    </w:p>
    <w:p w14:paraId="00000041" w14:textId="77777777" w:rsidR="00CC134E" w:rsidRDefault="005336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Correlation analysis of MIC values of terbinafine and itraconazole using Spearman’s rank correlation coefficient did not reveal a statistically significant relationship (p &gt; 0.05 for each dermatophyte species), </w:t>
      </w:r>
      <w:r>
        <w:rPr>
          <w:rFonts w:ascii="Times New Roman" w:eastAsia="Times New Roman" w:hAnsi="Times New Roman" w:cs="Times New Roman"/>
          <w:color w:val="000000"/>
          <w:sz w:val="28"/>
          <w:szCs w:val="28"/>
        </w:rPr>
        <w:t>indicating no evidence of cross-resistance among the investigated strains.</w:t>
      </w:r>
    </w:p>
    <w:p w14:paraId="00000042" w14:textId="77777777" w:rsidR="00CC134E" w:rsidRDefault="005336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Based on the data obtained in this study, a structured clinical and diagnostic algorithm was developed to improve the management of patients with dermatophytosis, including recur</w:t>
      </w:r>
      <w:r>
        <w:rPr>
          <w:rFonts w:ascii="Times New Roman" w:eastAsia="Times New Roman" w:hAnsi="Times New Roman" w:cs="Times New Roman"/>
          <w:color w:val="000000"/>
          <w:sz w:val="28"/>
          <w:szCs w:val="28"/>
        </w:rPr>
        <w:t>rent and persistent forms of the disease. The algorithm covers the entire diagnostic and therapeutic pathway, from the initial examination to therapy adjustment in cases where standard approaches are ineffective. The key elements of the algorithm include c</w:t>
      </w:r>
      <w:r>
        <w:rPr>
          <w:rFonts w:ascii="Times New Roman" w:eastAsia="Times New Roman" w:hAnsi="Times New Roman" w:cs="Times New Roman"/>
          <w:color w:val="000000"/>
          <w:sz w:val="28"/>
          <w:szCs w:val="28"/>
        </w:rPr>
        <w:t>omprehensive clinical assessment, laboratory diagnostics with molecular methods and antifungal susceptibility testing, as well as an adapted therapeutic approach.</w:t>
      </w:r>
    </w:p>
    <w:p w14:paraId="00000043" w14:textId="77777777" w:rsidR="00CC134E" w:rsidRDefault="005336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first stage is the primary clinical examination with assessment of complaints, medical hi</w:t>
      </w:r>
      <w:r>
        <w:rPr>
          <w:rFonts w:ascii="Times New Roman" w:eastAsia="Times New Roman" w:hAnsi="Times New Roman" w:cs="Times New Roman"/>
          <w:color w:val="000000"/>
          <w:sz w:val="28"/>
          <w:szCs w:val="28"/>
        </w:rPr>
        <w:t>story, and dermatological status. A proprietary risk scale is used to evaluate the individual risk of dermatophytosis, which serves to decide whether laboratory confirmation of the diagnosis is required. If a typical clinical presentation is present or the</w:t>
      </w:r>
      <w:r>
        <w:rPr>
          <w:rFonts w:ascii="Times New Roman" w:eastAsia="Times New Roman" w:hAnsi="Times New Roman" w:cs="Times New Roman"/>
          <w:color w:val="000000"/>
          <w:sz w:val="28"/>
          <w:szCs w:val="28"/>
        </w:rPr>
        <w:t xml:space="preserve"> patient has a moderate/high score on the scale, microscopy with a KOH </w:t>
      </w:r>
      <w:r>
        <w:rPr>
          <w:rFonts w:ascii="Times New Roman" w:eastAsia="Times New Roman" w:hAnsi="Times New Roman" w:cs="Times New Roman"/>
          <w:color w:val="000000"/>
          <w:sz w:val="28"/>
          <w:szCs w:val="28"/>
        </w:rPr>
        <w:lastRenderedPageBreak/>
        <w:t>preparation is performed (repeated if necessary), or a fungal culture is carried out.</w:t>
      </w:r>
    </w:p>
    <w:p w14:paraId="00000044" w14:textId="77777777" w:rsidR="00CC134E" w:rsidRDefault="005336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If the result is positive, PCR is recommended to determine the species of the pathogen. Special emp</w:t>
      </w:r>
      <w:r>
        <w:rPr>
          <w:rFonts w:ascii="Times New Roman" w:eastAsia="Times New Roman" w:hAnsi="Times New Roman" w:cs="Times New Roman"/>
          <w:color w:val="000000"/>
          <w:sz w:val="28"/>
          <w:szCs w:val="28"/>
        </w:rPr>
        <w:t xml:space="preserve">hasis in the algorithm is placed on the identification of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xml:space="preserve"> as a potentially resistant species. For such cases, specific diagnostic and therapeutic approaches are proposed, including systemic itraconazole therapy.</w:t>
      </w:r>
    </w:p>
    <w:p w14:paraId="00000045" w14:textId="77777777" w:rsidR="00CC134E" w:rsidRDefault="005336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next stage is th</w:t>
      </w:r>
      <w:r>
        <w:rPr>
          <w:rFonts w:ascii="Times New Roman" w:eastAsia="Times New Roman" w:hAnsi="Times New Roman" w:cs="Times New Roman"/>
          <w:color w:val="000000"/>
          <w:sz w:val="28"/>
          <w:szCs w:val="28"/>
        </w:rPr>
        <w:t>e choice of treatment strategy based on the pathogen species, the clinical form of the disease, and age restrictions. Recommendations for systemic and topical therapy have been developed, including the consideration of off-label itraconazole use in childre</w:t>
      </w:r>
      <w:r>
        <w:rPr>
          <w:rFonts w:ascii="Times New Roman" w:eastAsia="Times New Roman" w:hAnsi="Times New Roman" w:cs="Times New Roman"/>
          <w:color w:val="000000"/>
          <w:sz w:val="28"/>
          <w:szCs w:val="28"/>
        </w:rPr>
        <w:t>n under 12 years of age when clinically indicated and with informed consent.</w:t>
      </w:r>
    </w:p>
    <w:p w14:paraId="00000046" w14:textId="77777777" w:rsidR="00CC134E" w:rsidRDefault="005336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algorithm includes an assessment of treatment effectiveness after 4–6 weeks. In the event of relapse or lack of clinical improvement, a repeat diagnostic work-up with comprehe</w:t>
      </w:r>
      <w:r>
        <w:rPr>
          <w:rFonts w:ascii="Times New Roman" w:eastAsia="Times New Roman" w:hAnsi="Times New Roman" w:cs="Times New Roman"/>
          <w:color w:val="000000"/>
          <w:sz w:val="28"/>
          <w:szCs w:val="28"/>
        </w:rPr>
        <w:t>nsive assessment is performed, including microscopy, PCR, assessment of risk factors, and, if possible, determination of MIC values for systemic antifungal agents according to the EUCAST E.Def 11.0 protocol.</w:t>
      </w:r>
    </w:p>
    <w:p w14:paraId="00000047" w14:textId="77777777" w:rsidR="00CC134E" w:rsidRDefault="005336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final stage includes monitoring treatment ef</w:t>
      </w:r>
      <w:r>
        <w:rPr>
          <w:rFonts w:ascii="Times New Roman" w:eastAsia="Times New Roman" w:hAnsi="Times New Roman" w:cs="Times New Roman"/>
          <w:color w:val="000000"/>
          <w:sz w:val="28"/>
          <w:szCs w:val="28"/>
        </w:rPr>
        <w:t xml:space="preserve">fectiveness after therapy adjustment and subsequent follow-up. The algorithm also incorporates preventive measures, sanitation, and patient education. </w:t>
      </w:r>
    </w:p>
    <w:p w14:paraId="00000048" w14:textId="77777777" w:rsidR="00CC134E" w:rsidRDefault="0053361E">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Conclusions:</w:t>
      </w:r>
    </w:p>
    <w:p w14:paraId="00000049" w14:textId="77777777" w:rsidR="00CC134E" w:rsidRDefault="0053361E">
      <w:pPr>
        <w:widowControl w:val="0"/>
        <w:numPr>
          <w:ilvl w:val="0"/>
          <w:numId w:val="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Among patients in Astana, the structure of dermatophytosis included tinea corporis (53.3%), tinea capitis (28.9%), and tinea cruris (17.8%). Tinea capitis was more frequently detected in boys, whereas tinea cruris was observed in adult men (p &lt; 0.01). In c</w:t>
      </w:r>
      <w:r>
        <w:rPr>
          <w:rFonts w:ascii="Times New Roman" w:eastAsia="Times New Roman" w:hAnsi="Times New Roman" w:cs="Times New Roman"/>
          <w:color w:val="000000"/>
          <w:sz w:val="28"/>
          <w:szCs w:val="28"/>
        </w:rPr>
        <w:t>hildren, tinea corporis were associated with contact sports and visiting saunas, while tinea capitis was associated with contact with cats (p &lt; 0.01). In adults, tinea cruris was associated with sexual contact with an infected partner (p&lt;0.0001), while tin</w:t>
      </w:r>
      <w:r>
        <w:rPr>
          <w:rFonts w:ascii="Times New Roman" w:eastAsia="Times New Roman" w:hAnsi="Times New Roman" w:cs="Times New Roman"/>
          <w:color w:val="000000"/>
          <w:sz w:val="28"/>
          <w:szCs w:val="28"/>
        </w:rPr>
        <w:t>ea capitis was associated with contact with an infected relative (p=0.0091) and with cats (p&lt;0.0001). The most significant predictors of dermatophytosis in children were contact with cats, contact with an infected relative, and participation in contact spo</w:t>
      </w:r>
      <w:r>
        <w:rPr>
          <w:rFonts w:ascii="Times New Roman" w:eastAsia="Times New Roman" w:hAnsi="Times New Roman" w:cs="Times New Roman"/>
          <w:color w:val="000000"/>
          <w:sz w:val="28"/>
          <w:szCs w:val="28"/>
        </w:rPr>
        <w:t>rts; in adults – contact with an infected relative, visiting a massage salon, and sexual contact with an infected partner. Individual risk scales were developed (AUC = 0.749 for adults; 0.705 for children).</w:t>
      </w:r>
    </w:p>
    <w:p w14:paraId="0000004A" w14:textId="77777777" w:rsidR="00CC134E" w:rsidRDefault="0053361E">
      <w:pPr>
        <w:widowControl w:val="0"/>
        <w:numPr>
          <w:ilvl w:val="0"/>
          <w:numId w:val="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Molecular identification of 150 dermatophyte isol</w:t>
      </w:r>
      <w:r>
        <w:rPr>
          <w:rFonts w:ascii="Times New Roman" w:eastAsia="Times New Roman" w:hAnsi="Times New Roman" w:cs="Times New Roman"/>
          <w:color w:val="000000"/>
          <w:sz w:val="28"/>
          <w:szCs w:val="28"/>
        </w:rPr>
        <w:t xml:space="preserve">ates revealed the following species: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Trichophyton tonsurans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Trichophyton verrucosum</w:t>
      </w:r>
      <w:r>
        <w:rPr>
          <w:rFonts w:ascii="Times New Roman" w:eastAsia="Times New Roman" w:hAnsi="Times New Roman" w:cs="Times New Roman"/>
          <w:color w:val="000000"/>
          <w:sz w:val="28"/>
          <w:szCs w:val="28"/>
        </w:rPr>
        <w:t xml:space="preserve">, and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Zoophilic species predominated (67.3%), mainly in cases of tinea capitis and tinea corporis. A</w:t>
      </w:r>
      <w:r>
        <w:rPr>
          <w:rFonts w:ascii="Times New Roman" w:eastAsia="Times New Roman" w:hAnsi="Times New Roman" w:cs="Times New Roman"/>
          <w:color w:val="000000"/>
          <w:sz w:val="28"/>
          <w:szCs w:val="28"/>
        </w:rPr>
        <w:t xml:space="preserve">nthropophilic species were more frequently identified in cases of tinea cruris, where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and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xml:space="preserve"> were detected in 92% of cases.</w:t>
      </w:r>
    </w:p>
    <w:p w14:paraId="0000004B" w14:textId="77777777" w:rsidR="00CC134E" w:rsidRDefault="0053361E">
      <w:pPr>
        <w:widowControl w:val="0"/>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36"/>
          <w:szCs w:val="36"/>
        </w:rPr>
      </w:pPr>
      <w:r>
        <w:rPr>
          <w:rFonts w:ascii="Times New Roman" w:eastAsia="Times New Roman" w:hAnsi="Times New Roman" w:cs="Times New Roman"/>
          <w:sz w:val="28"/>
          <w:szCs w:val="28"/>
        </w:rPr>
        <w:t xml:space="preserve">A statistically significant association was established between the pathogen species and both the clinical form (p&lt;0.001) and patients’ age (p&lt;0.001). </w:t>
      </w:r>
      <w:r>
        <w:rPr>
          <w:rFonts w:ascii="Times New Roman" w:eastAsia="Times New Roman" w:hAnsi="Times New Roman" w:cs="Times New Roman"/>
          <w:i/>
          <w:sz w:val="28"/>
          <w:szCs w:val="28"/>
        </w:rPr>
        <w:t>Microsporum canis</w:t>
      </w:r>
      <w:r>
        <w:rPr>
          <w:rFonts w:ascii="Times New Roman" w:eastAsia="Times New Roman" w:hAnsi="Times New Roman" w:cs="Times New Roman"/>
          <w:sz w:val="28"/>
          <w:szCs w:val="28"/>
        </w:rPr>
        <w:t xml:space="preserve"> and </w:t>
      </w:r>
      <w:r>
        <w:rPr>
          <w:rFonts w:ascii="Times New Roman" w:eastAsia="Times New Roman" w:hAnsi="Times New Roman" w:cs="Times New Roman"/>
          <w:i/>
          <w:sz w:val="28"/>
          <w:szCs w:val="28"/>
        </w:rPr>
        <w:t>Trichophyton interdigitale</w:t>
      </w:r>
      <w:r>
        <w:rPr>
          <w:rFonts w:ascii="Times New Roman" w:eastAsia="Times New Roman" w:hAnsi="Times New Roman" w:cs="Times New Roman"/>
          <w:sz w:val="28"/>
          <w:szCs w:val="28"/>
        </w:rPr>
        <w:t xml:space="preserve"> were more frequently identified during the spring–summer</w:t>
      </w:r>
      <w:r>
        <w:rPr>
          <w:rFonts w:ascii="Times New Roman" w:eastAsia="Times New Roman" w:hAnsi="Times New Roman" w:cs="Times New Roman"/>
          <w:sz w:val="28"/>
          <w:szCs w:val="28"/>
        </w:rPr>
        <w:t xml:space="preserve"> period, while </w:t>
      </w:r>
      <w:r>
        <w:rPr>
          <w:rFonts w:ascii="Times New Roman" w:eastAsia="Times New Roman" w:hAnsi="Times New Roman" w:cs="Times New Roman"/>
          <w:i/>
          <w:sz w:val="28"/>
          <w:szCs w:val="28"/>
        </w:rPr>
        <w:t>Trichophyton verrucosum</w:t>
      </w:r>
      <w:r>
        <w:rPr>
          <w:rFonts w:ascii="Times New Roman" w:eastAsia="Times New Roman" w:hAnsi="Times New Roman" w:cs="Times New Roman"/>
          <w:sz w:val="28"/>
          <w:szCs w:val="28"/>
        </w:rPr>
        <w:t xml:space="preserve"> and </w:t>
      </w:r>
      <w:r>
        <w:rPr>
          <w:rFonts w:ascii="Times New Roman" w:eastAsia="Times New Roman" w:hAnsi="Times New Roman" w:cs="Times New Roman"/>
          <w:i/>
          <w:sz w:val="28"/>
          <w:szCs w:val="28"/>
        </w:rPr>
        <w:t>Trichophyton tonsurans</w:t>
      </w:r>
      <w:r>
        <w:rPr>
          <w:rFonts w:ascii="Times New Roman" w:eastAsia="Times New Roman" w:hAnsi="Times New Roman" w:cs="Times New Roman"/>
          <w:sz w:val="28"/>
          <w:szCs w:val="28"/>
        </w:rPr>
        <w:t xml:space="preserve"> predominated in the autumn–winter period (p&lt;0.05). Of particular concern is the identification of </w:t>
      </w:r>
      <w:r>
        <w:rPr>
          <w:rFonts w:ascii="Times New Roman" w:eastAsia="Times New Roman" w:hAnsi="Times New Roman" w:cs="Times New Roman"/>
          <w:i/>
          <w:sz w:val="28"/>
          <w:szCs w:val="28"/>
        </w:rPr>
        <w:t>Trichophyton indotineae</w:t>
      </w:r>
      <w:r>
        <w:rPr>
          <w:rFonts w:ascii="Times New Roman" w:eastAsia="Times New Roman" w:hAnsi="Times New Roman" w:cs="Times New Roman"/>
          <w:sz w:val="28"/>
          <w:szCs w:val="28"/>
        </w:rPr>
        <w:t>, not previously reported in Kazakhstan.</w:t>
      </w:r>
    </w:p>
    <w:p w14:paraId="0000004C" w14:textId="77777777" w:rsidR="00CC134E" w:rsidRDefault="0053361E">
      <w:pPr>
        <w:widowControl w:val="0"/>
        <w:numPr>
          <w:ilvl w:val="0"/>
          <w:numId w:val="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28"/>
          <w:szCs w:val="28"/>
        </w:rPr>
        <w:lastRenderedPageBreak/>
        <w:t>Susceptibility to terbinafin</w:t>
      </w:r>
      <w:r>
        <w:rPr>
          <w:rFonts w:ascii="Times New Roman" w:eastAsia="Times New Roman" w:hAnsi="Times New Roman" w:cs="Times New Roman"/>
          <w:color w:val="000000"/>
          <w:sz w:val="28"/>
          <w:szCs w:val="28"/>
        </w:rPr>
        <w:t xml:space="preserve">e and itraconazole was determined for 150 dermatophyte isolates using the broth microdilution method (EUCAST E.Def 11.0). The majority of strains remained susceptible to terbinafine; however, the tentative ECOFF was exceeded in 71.4% of </w:t>
      </w:r>
      <w:r>
        <w:rPr>
          <w:rFonts w:ascii="Times New Roman" w:eastAsia="Times New Roman" w:hAnsi="Times New Roman" w:cs="Times New Roman"/>
          <w:i/>
          <w:color w:val="000000"/>
          <w:sz w:val="28"/>
          <w:szCs w:val="28"/>
        </w:rPr>
        <w:t>Trichophyton indoti</w:t>
      </w:r>
      <w:r>
        <w:rPr>
          <w:rFonts w:ascii="Times New Roman" w:eastAsia="Times New Roman" w:hAnsi="Times New Roman" w:cs="Times New Roman"/>
          <w:i/>
          <w:color w:val="000000"/>
          <w:sz w:val="28"/>
          <w:szCs w:val="28"/>
        </w:rPr>
        <w:t>neae</w:t>
      </w:r>
      <w:r>
        <w:rPr>
          <w:rFonts w:ascii="Times New Roman" w:eastAsia="Times New Roman" w:hAnsi="Times New Roman" w:cs="Times New Roman"/>
          <w:color w:val="000000"/>
          <w:sz w:val="28"/>
          <w:szCs w:val="28"/>
        </w:rPr>
        <w:t xml:space="preserve"> isolates, suggesting reduced susceptibility. For itraconazole, MIC values remained within the tentative ECOFF. Species-specific differences in susceptibility to both agents were statistically significant, while no correlation was observed between susc</w:t>
      </w:r>
      <w:r>
        <w:rPr>
          <w:rFonts w:ascii="Times New Roman" w:eastAsia="Times New Roman" w:hAnsi="Times New Roman" w:cs="Times New Roman"/>
          <w:color w:val="000000"/>
          <w:sz w:val="28"/>
          <w:szCs w:val="28"/>
        </w:rPr>
        <w:t>eptibility to terbinafine and itraconazole.</w:t>
      </w:r>
    </w:p>
    <w:p w14:paraId="0000004D" w14:textId="77777777" w:rsidR="00CC134E" w:rsidRDefault="0053361E">
      <w:pPr>
        <w:widowControl w:val="0"/>
        <w:numPr>
          <w:ilvl w:val="0"/>
          <w:numId w:val="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28"/>
          <w:szCs w:val="28"/>
        </w:rPr>
        <w:t>A clinical and diagnostic algorithm for the management of dermatophytosis was developed, incorporating initial clinical assessment (age-based risk stratification scales), laboratory diagnostics, selection of ther</w:t>
      </w:r>
      <w:r>
        <w:rPr>
          <w:rFonts w:ascii="Times New Roman" w:eastAsia="Times New Roman" w:hAnsi="Times New Roman" w:cs="Times New Roman"/>
          <w:color w:val="000000"/>
          <w:sz w:val="28"/>
          <w:szCs w:val="28"/>
        </w:rPr>
        <w:t>apy, and management of recurrent and persistent forms. The algorithm integrates microscopy findings, PCR-based identification, and systemic antifungal susceptibility testing (when feasible), and is designed to facilitate early detection of cases associated</w:t>
      </w:r>
      <w:r>
        <w:rPr>
          <w:rFonts w:ascii="Times New Roman" w:eastAsia="Times New Roman" w:hAnsi="Times New Roman" w:cs="Times New Roman"/>
          <w:color w:val="000000"/>
          <w:sz w:val="28"/>
          <w:szCs w:val="28"/>
        </w:rPr>
        <w:t xml:space="preserve"> with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xml:space="preserve"> and other pathogens with reduced susceptibility to terbinafine. It can be used to systematize the therapeutic approach and to individualize the treatment of dermatophytosis.</w:t>
      </w:r>
    </w:p>
    <w:p w14:paraId="0000004E" w14:textId="77777777" w:rsidR="00CC134E" w:rsidRDefault="0053361E">
      <w:pPr>
        <w:widowControl w:val="0"/>
        <w:pBdr>
          <w:top w:val="nil"/>
          <w:left w:val="nil"/>
          <w:bottom w:val="nil"/>
          <w:right w:val="nil"/>
          <w:between w:val="nil"/>
        </w:pBdr>
        <w:tabs>
          <w:tab w:val="left" w:pos="1134"/>
        </w:tabs>
        <w:spacing w:after="0" w:line="240" w:lineRule="auto"/>
        <w:ind w:left="709"/>
        <w:jc w:val="both"/>
        <w:rPr>
          <w:rFonts w:ascii="Times New Roman" w:eastAsia="Times New Roman" w:hAnsi="Times New Roman" w:cs="Times New Roman"/>
          <w:color w:val="000000"/>
          <w:sz w:val="36"/>
          <w:szCs w:val="36"/>
        </w:rPr>
      </w:pPr>
      <w:r>
        <w:rPr>
          <w:rFonts w:ascii="Times New Roman" w:eastAsia="Times New Roman" w:hAnsi="Times New Roman" w:cs="Times New Roman"/>
          <w:b/>
          <w:color w:val="000000"/>
          <w:sz w:val="28"/>
          <w:szCs w:val="28"/>
        </w:rPr>
        <w:t>Practical recommendations:</w:t>
      </w:r>
    </w:p>
    <w:p w14:paraId="0000004F" w14:textId="77777777" w:rsidR="00CC134E" w:rsidRDefault="0053361E">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For early detection of patients at increased risk of dermatophytosis, the use of the proposed scales (developed separately for children and adults) is recommended. These scales are based on logistic regression models incorporating key clinical and epide</w:t>
      </w:r>
      <w:r>
        <w:rPr>
          <w:rFonts w:ascii="Times New Roman" w:eastAsia="Times New Roman" w:hAnsi="Times New Roman" w:cs="Times New Roman"/>
          <w:sz w:val="28"/>
          <w:szCs w:val="28"/>
        </w:rPr>
        <w:t>miological factors. They can be applied during the stage of initial assessment but cannot substitute for laboratory confirmation of the diagnosis.</w:t>
      </w:r>
    </w:p>
    <w:p w14:paraId="00000050" w14:textId="77777777" w:rsidR="00CC134E" w:rsidRDefault="0053361E">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In patients with a combination of risk factors for dermatophytosis, laboratory diagnostic testing is recom</w:t>
      </w:r>
      <w:r>
        <w:rPr>
          <w:rFonts w:ascii="Times New Roman" w:eastAsia="Times New Roman" w:hAnsi="Times New Roman" w:cs="Times New Roman"/>
          <w:sz w:val="28"/>
          <w:szCs w:val="28"/>
        </w:rPr>
        <w:t>mended, including cases with mild or non-specific clinical presentation. Common risk factors for both children and adults include contact with a relative with dermatophytosis, contact with cats (domestic or stray), participation in contact sports, and visi</w:t>
      </w:r>
      <w:r>
        <w:rPr>
          <w:rFonts w:ascii="Times New Roman" w:eastAsia="Times New Roman" w:hAnsi="Times New Roman" w:cs="Times New Roman"/>
          <w:sz w:val="28"/>
          <w:szCs w:val="28"/>
        </w:rPr>
        <w:t>ting public places with high humidity (public baths, saunas, and similar facilities). Additional factors in children include age under 10 years and male sex; in adults – sexual contact with a partner with clinical signs of fungal infection and visiting mas</w:t>
      </w:r>
      <w:r>
        <w:rPr>
          <w:rFonts w:ascii="Times New Roman" w:eastAsia="Times New Roman" w:hAnsi="Times New Roman" w:cs="Times New Roman"/>
          <w:sz w:val="28"/>
          <w:szCs w:val="28"/>
        </w:rPr>
        <w:t>sage salons.</w:t>
      </w:r>
    </w:p>
    <w:p w14:paraId="00000051" w14:textId="77777777" w:rsidR="00CC134E" w:rsidRDefault="0053361E">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In cases of dermatophytosis, particularly in chronic, recurrent, or atypical cases, it is recommended to perform not only microscopic and culture-based examinations but also species identification of the pathogen, preferably using molecular</w:t>
      </w:r>
      <w:r>
        <w:rPr>
          <w:rFonts w:ascii="Times New Roman" w:eastAsia="Times New Roman" w:hAnsi="Times New Roman" w:cs="Times New Roman"/>
          <w:sz w:val="28"/>
          <w:szCs w:val="28"/>
        </w:rPr>
        <w:t xml:space="preserve"> genetic methods (PCR).</w:t>
      </w:r>
    </w:p>
    <w:p w14:paraId="00000052" w14:textId="77777777" w:rsidR="00CC134E" w:rsidRDefault="0053361E">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The management of patients with dermatophytosis is recommended to be carried out in accordance with a clinical and diagnostic algorithm developed with consideration of typical, recurrent, and persistent forms of the disease.</w:t>
      </w:r>
    </w:p>
    <w:p w14:paraId="00000053" w14:textId="77777777" w:rsidR="00CC134E" w:rsidRDefault="0053361E">
      <w:pPr>
        <w:widowControl w:val="0"/>
        <w:tabs>
          <w:tab w:val="left" w:pos="1130"/>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Approbation of the research.</w:t>
      </w:r>
    </w:p>
    <w:p w14:paraId="00000054" w14:textId="77777777" w:rsidR="00CC134E" w:rsidRDefault="0053361E">
      <w:pPr>
        <w:widowControl w:val="0"/>
        <w:tabs>
          <w:tab w:val="left" w:pos="113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main findings of the research were presented as reports at:</w:t>
      </w:r>
    </w:p>
    <w:p w14:paraId="00000055" w14:textId="77777777" w:rsidR="00CC134E" w:rsidRDefault="0053361E">
      <w:pPr>
        <w:widowControl w:val="0"/>
        <w:numPr>
          <w:ilvl w:val="0"/>
          <w:numId w:val="5"/>
        </w:numPr>
        <w:pBdr>
          <w:top w:val="nil"/>
          <w:left w:val="nil"/>
          <w:bottom w:val="nil"/>
          <w:right w:val="nil"/>
          <w:between w:val="nil"/>
        </w:pBdr>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2nd Interuniversity Scientific and Practical Conference “Chronic Inflammatory Processes of the Skin: Interdisciplinary Problems” (Astana, Kazakhstan – 15 March</w:t>
      </w:r>
      <w:r>
        <w:rPr>
          <w:rFonts w:ascii="Times New Roman" w:eastAsia="Times New Roman" w:hAnsi="Times New Roman" w:cs="Times New Roman"/>
          <w:color w:val="000000"/>
          <w:sz w:val="28"/>
          <w:szCs w:val="28"/>
        </w:rPr>
        <w:t xml:space="preserve"> 2023);</w:t>
      </w:r>
    </w:p>
    <w:p w14:paraId="00000056" w14:textId="77777777" w:rsidR="00CC134E" w:rsidRDefault="0053361E">
      <w:pPr>
        <w:widowControl w:val="0"/>
        <w:numPr>
          <w:ilvl w:val="0"/>
          <w:numId w:val="5"/>
        </w:numPr>
        <w:pBdr>
          <w:top w:val="nil"/>
          <w:left w:val="nil"/>
          <w:bottom w:val="nil"/>
          <w:right w:val="nil"/>
          <w:between w:val="nil"/>
        </w:pBdr>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The 8th Eurasian Congress of Dermatology, Cosmetology, and Aesthetic Medicine (Astana, Kazakhstan – 30–31 May 2023);</w:t>
      </w:r>
    </w:p>
    <w:p w14:paraId="00000057" w14:textId="77777777" w:rsidR="00CC134E" w:rsidRDefault="0053361E">
      <w:pPr>
        <w:widowControl w:val="0"/>
        <w:numPr>
          <w:ilvl w:val="0"/>
          <w:numId w:val="5"/>
        </w:numPr>
        <w:pBdr>
          <w:top w:val="nil"/>
          <w:left w:val="nil"/>
          <w:bottom w:val="nil"/>
          <w:right w:val="nil"/>
          <w:between w:val="nil"/>
        </w:pBdr>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2nd Conference “INTEDECO. Integrative Dermatovenereology, and Dermatocosmetology: New Standards of Interaction” (Moscow, Russia</w:t>
      </w:r>
      <w:r>
        <w:rPr>
          <w:rFonts w:ascii="Times New Roman" w:eastAsia="Times New Roman" w:hAnsi="Times New Roman" w:cs="Times New Roman"/>
          <w:color w:val="000000"/>
          <w:sz w:val="28"/>
          <w:szCs w:val="28"/>
        </w:rPr>
        <w:t>n Federation – 22–23 December 2023);</w:t>
      </w:r>
    </w:p>
    <w:p w14:paraId="00000058" w14:textId="77777777" w:rsidR="00CC134E" w:rsidRDefault="0053361E">
      <w:pPr>
        <w:widowControl w:val="0"/>
        <w:numPr>
          <w:ilvl w:val="0"/>
          <w:numId w:val="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33rd Congress of the European Academy of Dermatology and Venereology (Amsterdam, Netherlands – 25–28 September 2024);</w:t>
      </w:r>
    </w:p>
    <w:p w14:paraId="00000059" w14:textId="77777777" w:rsidR="00CC134E" w:rsidRDefault="0053361E">
      <w:pPr>
        <w:widowControl w:val="0"/>
        <w:numPr>
          <w:ilvl w:val="0"/>
          <w:numId w:val="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1st International Scientific and Practical Conference “Astana Medical Forum 2024: Medicine of the Future – Integration of Science, Education, and Practice”, dedicated to the 60th anniversary of Astana Medical University (Astana, Kazakhstan – 14–15 Octo</w:t>
      </w:r>
      <w:r>
        <w:rPr>
          <w:rFonts w:ascii="Times New Roman" w:eastAsia="Times New Roman" w:hAnsi="Times New Roman" w:cs="Times New Roman"/>
          <w:color w:val="000000"/>
          <w:sz w:val="28"/>
          <w:szCs w:val="28"/>
        </w:rPr>
        <w:t>ber 2024);</w:t>
      </w:r>
    </w:p>
    <w:p w14:paraId="0000005A" w14:textId="77777777" w:rsidR="00CC134E" w:rsidRDefault="0053361E">
      <w:pPr>
        <w:widowControl w:val="0"/>
        <w:numPr>
          <w:ilvl w:val="0"/>
          <w:numId w:val="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4th Interuniversity Scientific and Practical Conference “Multidisciplinary Approach: Interaction of General Practice, Dermatovenereology, and Related Disciplines” (Astana, Kazakhstan – 2 April 2025);</w:t>
      </w:r>
    </w:p>
    <w:p w14:paraId="0000005B" w14:textId="77777777" w:rsidR="00CC134E" w:rsidRDefault="0053361E">
      <w:pPr>
        <w:widowControl w:val="0"/>
        <w:numPr>
          <w:ilvl w:val="0"/>
          <w:numId w:val="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9th Eurasian Congress of Dermatology,</w:t>
      </w:r>
      <w:r>
        <w:rPr>
          <w:rFonts w:ascii="Times New Roman" w:eastAsia="Times New Roman" w:hAnsi="Times New Roman" w:cs="Times New Roman"/>
          <w:color w:val="000000"/>
          <w:sz w:val="28"/>
          <w:szCs w:val="28"/>
        </w:rPr>
        <w:t xml:space="preserve"> Cosmetology, and Aesthetic Medicine (Astana, Kazakhstan – 30–31 May 2025).</w:t>
      </w:r>
    </w:p>
    <w:p w14:paraId="0000005C" w14:textId="77777777" w:rsidR="00CC134E" w:rsidRDefault="0053361E">
      <w:pPr>
        <w:widowControl w:val="0"/>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Publications.</w:t>
      </w:r>
    </w:p>
    <w:p w14:paraId="0000005D" w14:textId="77777777" w:rsidR="00CC134E" w:rsidRDefault="0053361E">
      <w:pPr>
        <w:widowControl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On the topic of the dissertation, four scientific works were published, including: one article in a journal indexed in Scopus and W</w:t>
      </w:r>
      <w:r>
        <w:rPr>
          <w:rFonts w:ascii="Times New Roman" w:eastAsia="Times New Roman" w:hAnsi="Times New Roman" w:cs="Times New Roman"/>
          <w:sz w:val="28"/>
          <w:szCs w:val="28"/>
        </w:rPr>
        <w:t>eb of Science</w:t>
      </w:r>
      <w:r>
        <w:rPr>
          <w:rFonts w:ascii="Times New Roman" w:eastAsia="Times New Roman" w:hAnsi="Times New Roman" w:cs="Times New Roman"/>
          <w:color w:val="000000"/>
          <w:sz w:val="28"/>
          <w:szCs w:val="28"/>
        </w:rPr>
        <w:t xml:space="preserve">; two publications in </w:t>
      </w:r>
      <w:r>
        <w:rPr>
          <w:rFonts w:ascii="Times New Roman" w:eastAsia="Times New Roman" w:hAnsi="Times New Roman" w:cs="Times New Roman"/>
          <w:color w:val="000000"/>
          <w:sz w:val="28"/>
          <w:szCs w:val="28"/>
        </w:rPr>
        <w:t>Kazakhstani journals included in the 2nd list of journals recommended by the Committee for Quality Assurance in Science and Higher Education of the Ministry of Science and Higher Education of the Republic of Kazakhstan for publishing the main results of sc</w:t>
      </w:r>
      <w:r>
        <w:rPr>
          <w:rFonts w:ascii="Times New Roman" w:eastAsia="Times New Roman" w:hAnsi="Times New Roman" w:cs="Times New Roman"/>
          <w:color w:val="000000"/>
          <w:sz w:val="28"/>
          <w:szCs w:val="28"/>
        </w:rPr>
        <w:t>ientific research; and one abstract published in the proceedings of an International Scientific and Practical Conference. Based on the results of the research, three author’s certificates were obtained, and three implementation acts in practical healthcare</w:t>
      </w:r>
      <w:r>
        <w:rPr>
          <w:rFonts w:ascii="Times New Roman" w:eastAsia="Times New Roman" w:hAnsi="Times New Roman" w:cs="Times New Roman"/>
          <w:color w:val="000000"/>
          <w:sz w:val="28"/>
          <w:szCs w:val="28"/>
        </w:rPr>
        <w:t xml:space="preserve"> were issued.</w:t>
      </w:r>
    </w:p>
    <w:p w14:paraId="0000005E" w14:textId="77777777" w:rsidR="00CC134E" w:rsidRDefault="0053361E">
      <w:pPr>
        <w:widowControl w:val="0"/>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Author's Contribution to the Research:</w:t>
      </w:r>
    </w:p>
    <w:p w14:paraId="0000005F" w14:textId="77777777" w:rsidR="00CC134E" w:rsidRDefault="0053361E">
      <w:pPr>
        <w:widowControl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author independently analyzed the literature and reviewed national and international sources on the research topic. She selected patients in accordance with the inclusion and exclusion criteria, cond</w:t>
      </w:r>
      <w:r>
        <w:rPr>
          <w:rFonts w:ascii="Times New Roman" w:eastAsia="Times New Roman" w:hAnsi="Times New Roman" w:cs="Times New Roman"/>
          <w:color w:val="000000"/>
          <w:sz w:val="28"/>
          <w:szCs w:val="28"/>
        </w:rPr>
        <w:t>ucted patient surveys, and collected clinical samples. The author participated in the processing of clinical material, statistical analysis of data and interpretation of the obtained results, as well as in the preparation and authorship of all publications</w:t>
      </w:r>
      <w:r>
        <w:rPr>
          <w:rFonts w:ascii="Times New Roman" w:eastAsia="Times New Roman" w:hAnsi="Times New Roman" w:cs="Times New Roman"/>
          <w:color w:val="000000"/>
          <w:sz w:val="28"/>
          <w:szCs w:val="28"/>
        </w:rPr>
        <w:t xml:space="preserve"> related to the dissertation. </w:t>
      </w:r>
    </w:p>
    <w:sectPr w:rsidR="00CC134E">
      <w:footerReference w:type="default" r:id="rId8"/>
      <w:pgSz w:w="11906" w:h="16838"/>
      <w:pgMar w:top="1134" w:right="567"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3DBD6" w14:textId="77777777" w:rsidR="0053361E" w:rsidRDefault="0053361E">
      <w:pPr>
        <w:spacing w:after="0" w:line="240" w:lineRule="auto"/>
      </w:pPr>
      <w:r>
        <w:separator/>
      </w:r>
    </w:p>
  </w:endnote>
  <w:endnote w:type="continuationSeparator" w:id="0">
    <w:p w14:paraId="46C45F0C" w14:textId="77777777" w:rsidR="0053361E" w:rsidRDefault="00533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0" w14:textId="7860F104" w:rsidR="00CC134E" w:rsidRDefault="0053361E">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sidR="00567EE9">
      <w:rPr>
        <w:color w:val="000000"/>
      </w:rPr>
      <w:fldChar w:fldCharType="separate"/>
    </w:r>
    <w:r w:rsidR="00567EE9">
      <w:rPr>
        <w:noProof/>
        <w:color w:val="000000"/>
      </w:rPr>
      <w:t>3</w:t>
    </w:r>
    <w:r>
      <w:rPr>
        <w:color w:val="000000"/>
      </w:rPr>
      <w:fldChar w:fldCharType="end"/>
    </w:r>
  </w:p>
  <w:p w14:paraId="00000061" w14:textId="77777777" w:rsidR="00CC134E" w:rsidRDefault="00CC134E">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A07FB" w14:textId="77777777" w:rsidR="0053361E" w:rsidRDefault="0053361E">
      <w:pPr>
        <w:spacing w:after="0" w:line="240" w:lineRule="auto"/>
      </w:pPr>
      <w:r>
        <w:separator/>
      </w:r>
    </w:p>
  </w:footnote>
  <w:footnote w:type="continuationSeparator" w:id="0">
    <w:p w14:paraId="04A3D98B" w14:textId="77777777" w:rsidR="0053361E" w:rsidRDefault="00533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85BD4"/>
    <w:multiLevelType w:val="multilevel"/>
    <w:tmpl w:val="529CA87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0F87EFD"/>
    <w:multiLevelType w:val="multilevel"/>
    <w:tmpl w:val="022EE3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7A85ACF"/>
    <w:multiLevelType w:val="multilevel"/>
    <w:tmpl w:val="E3086CA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1495"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6A687091"/>
    <w:multiLevelType w:val="multilevel"/>
    <w:tmpl w:val="5FE2BA6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70F235A9"/>
    <w:multiLevelType w:val="multilevel"/>
    <w:tmpl w:val="B18A77BC"/>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34E"/>
    <w:rsid w:val="0053361E"/>
    <w:rsid w:val="00567EE9"/>
    <w:rsid w:val="00CC1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ACBB"/>
  <w15:docId w15:val="{1953D19F-B430-4802-9271-5F16D421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a4">
    <w:name w:val="Normal (Web)"/>
    <w:uiPriority w:val="99"/>
    <w:unhideWhenUsed/>
    <w:rsid w:val="009B096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uiPriority w:val="34"/>
    <w:qFormat/>
    <w:rsid w:val="009B0962"/>
    <w:pPr>
      <w:ind w:left="720"/>
      <w:contextualSpacing/>
    </w:pPr>
  </w:style>
  <w:style w:type="table" w:styleId="a6">
    <w:name w:val="Table Grid"/>
    <w:basedOn w:val="a1"/>
    <w:uiPriority w:val="39"/>
    <w:rsid w:val="00611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0103"/>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Emphasis"/>
    <w:basedOn w:val="a0"/>
    <w:uiPriority w:val="20"/>
    <w:qFormat/>
    <w:rsid w:val="002C213D"/>
    <w:rPr>
      <w:i/>
      <w:iCs/>
    </w:rPr>
  </w:style>
  <w:style w:type="table" w:customStyle="1" w:styleId="10">
    <w:name w:val="Сетка таблицы1"/>
    <w:basedOn w:val="a1"/>
    <w:next w:val="a6"/>
    <w:uiPriority w:val="39"/>
    <w:rsid w:val="00FB0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210F"/>
  </w:style>
  <w:style w:type="paragraph" w:styleId="a8">
    <w:name w:val="header"/>
    <w:link w:val="a9"/>
    <w:uiPriority w:val="99"/>
    <w:unhideWhenUsed/>
    <w:rsid w:val="004B6E6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B6E65"/>
  </w:style>
  <w:style w:type="paragraph" w:styleId="aa">
    <w:name w:val="footer"/>
    <w:link w:val="ab"/>
    <w:uiPriority w:val="99"/>
    <w:unhideWhenUsed/>
    <w:rsid w:val="004B6E6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B6E65"/>
  </w:style>
  <w:style w:type="table" w:customStyle="1" w:styleId="11">
    <w:name w:val="1"/>
    <w:basedOn w:val="TableNormal0"/>
    <w:pPr>
      <w:spacing w:after="0" w:line="240" w:lineRule="auto"/>
    </w:pPr>
    <w:tblPr>
      <w:tblStyleRowBandSize w:val="1"/>
      <w:tblStyleColBandSize w:val="1"/>
      <w:tblCellMar>
        <w:left w:w="108" w:type="dxa"/>
        <w:right w:w="108" w:type="dxa"/>
      </w:tblCellMar>
    </w:tblPr>
  </w:style>
  <w:style w:type="character" w:styleId="ac">
    <w:name w:val="Strong"/>
    <w:basedOn w:val="a0"/>
    <w:uiPriority w:val="22"/>
    <w:qFormat/>
    <w:rsid w:val="001358AD"/>
    <w:rPr>
      <w:b/>
      <w:bCs/>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xwB3Cmb4Cr+7P3a5R8fSGwTOeg==">CgMxLjAaJQoBMBIgCh4IB0IaCg9UaW1lcyBOZXcgUm9tYW4SB0d1bmdzdWgaJQoBMRIgCh4IB0IaCg9UaW1lcyBOZXcgUm9tYW4SB0d1bmdzdWgaJQoBMhIgCh4IB0IaCg9UaW1lcyBOZXcgUm9tYW4SB0d1bmdzdWgyDmguZmE0bTY5a3psaXhwMg5oLnkxamI4bTNwY3dwejgAciExZXlQcnpBUWMzTjFwZkV5T3ZIUXBMdDlScU5sVVRDUlE=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5781</Words>
  <Characters>32958</Characters>
  <Application>Microsoft Office Word</Application>
  <DocSecurity>0</DocSecurity>
  <Lines>274</Lines>
  <Paragraphs>77</Paragraphs>
  <ScaleCrop>false</ScaleCrop>
  <Company>SPecialiST RePack</Company>
  <LinksUpToDate>false</LinksUpToDate>
  <CharactersWithSpaces>38662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2025-06-07T21:41:00Z</dcterms:created>
  <dcterms:modified xsi:type="dcterms:W3CDTF">2025-10-07T15:22:00Z</dcterms:modified>
</cp:coreProperties>
</file>